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874E9" w14:textId="5E7BF224" w:rsidR="00C37C1F" w:rsidRDefault="00C37C1F" w:rsidP="00C37C1F">
      <w:pPr>
        <w:pStyle w:val="Series"/>
        <w:spacing w:after="0"/>
        <w:rPr>
          <w:color w:val="197C7D"/>
        </w:rPr>
      </w:pPr>
      <w:r>
        <w:rPr>
          <w:color w:val="197C7D"/>
        </w:rPr>
        <w:t>Safeguard Mechanism reform</w:t>
      </w:r>
      <w:r w:rsidR="00687C76">
        <w:rPr>
          <w:color w:val="197C7D"/>
        </w:rPr>
        <w:t xml:space="preserve"> </w:t>
      </w:r>
      <w:r>
        <w:rPr>
          <w:color w:val="197C7D"/>
        </w:rPr>
        <w:t>consultation</w:t>
      </w:r>
      <w:r w:rsidR="00513046">
        <w:rPr>
          <w:color w:val="197C7D"/>
        </w:rPr>
        <w:t xml:space="preserve"> -</w:t>
      </w:r>
      <w:r>
        <w:rPr>
          <w:color w:val="197C7D"/>
        </w:rPr>
        <w:t xml:space="preserve"> factsheet</w:t>
      </w:r>
      <w:r w:rsidR="00687C76">
        <w:rPr>
          <w:color w:val="197C7D"/>
        </w:rPr>
        <w:t xml:space="preserve"> 2</w:t>
      </w:r>
    </w:p>
    <w:p w14:paraId="25D9DF92" w14:textId="77777777" w:rsidR="00C37C1F" w:rsidRDefault="00C37C1F" w:rsidP="00C37C1F">
      <w:pPr>
        <w:pStyle w:val="Series"/>
        <w:spacing w:before="40"/>
        <w:rPr>
          <w:color w:val="197C7D"/>
          <w:sz w:val="24"/>
          <w:szCs w:val="24"/>
        </w:rPr>
      </w:pPr>
      <w:r>
        <w:rPr>
          <w:color w:val="197C7D"/>
          <w:sz w:val="24"/>
          <w:szCs w:val="24"/>
        </w:rPr>
        <w:t>January 2023</w:t>
      </w:r>
    </w:p>
    <w:p w14:paraId="2EA0E56D" w14:textId="6900C614" w:rsidR="00EB7BAF" w:rsidRPr="001603D6" w:rsidRDefault="00EB7BAF" w:rsidP="001603D6">
      <w:pPr>
        <w:pStyle w:val="Heading2"/>
        <w:keepLines w:val="0"/>
        <w:spacing w:before="120" w:after="120" w:line="240" w:lineRule="auto"/>
        <w:ind w:left="720" w:hanging="720"/>
        <w:rPr>
          <w:rFonts w:ascii="Calibri" w:eastAsiaTheme="minorEastAsia" w:hAnsi="Calibri" w:cstheme="minorBidi"/>
          <w:b/>
          <w:bCs/>
          <w:color w:val="197C7D"/>
          <w:sz w:val="36"/>
          <w:szCs w:val="36"/>
          <w:lang w:eastAsia="ja-JP"/>
        </w:rPr>
      </w:pPr>
      <w:r w:rsidRPr="001603D6">
        <w:rPr>
          <w:rFonts w:ascii="Calibri" w:eastAsiaTheme="minorEastAsia" w:hAnsi="Calibri" w:cstheme="minorBidi"/>
          <w:b/>
          <w:bCs/>
          <w:color w:val="197C7D"/>
          <w:sz w:val="36"/>
          <w:szCs w:val="36"/>
          <w:lang w:eastAsia="ja-JP"/>
        </w:rPr>
        <w:t>Safeguard Mechanism</w:t>
      </w:r>
      <w:r w:rsidR="003E27F5" w:rsidRPr="001603D6">
        <w:rPr>
          <w:rFonts w:ascii="Calibri" w:eastAsiaTheme="minorEastAsia" w:hAnsi="Calibri" w:cstheme="minorBidi"/>
          <w:b/>
          <w:bCs/>
          <w:color w:val="197C7D"/>
          <w:sz w:val="36"/>
          <w:szCs w:val="36"/>
          <w:lang w:eastAsia="ja-JP"/>
        </w:rPr>
        <w:t>: meeting the target</w:t>
      </w:r>
      <w:r w:rsidRPr="001603D6">
        <w:rPr>
          <w:rFonts w:ascii="Calibri" w:eastAsiaTheme="minorEastAsia" w:hAnsi="Calibri" w:cstheme="minorBidi"/>
          <w:b/>
          <w:bCs/>
          <w:color w:val="197C7D"/>
          <w:sz w:val="36"/>
          <w:szCs w:val="36"/>
          <w:lang w:eastAsia="ja-JP"/>
        </w:rPr>
        <w:t xml:space="preserve"> </w:t>
      </w:r>
    </w:p>
    <w:p w14:paraId="4C071865" w14:textId="779CD81E" w:rsidR="003E27F5" w:rsidRPr="00971D16" w:rsidRDefault="003E27F5" w:rsidP="003E27F5">
      <w:pPr>
        <w:rPr>
          <w:bCs/>
          <w:iCs/>
        </w:rPr>
      </w:pPr>
      <w:r w:rsidRPr="00971D16">
        <w:rPr>
          <w:bCs/>
          <w:iCs/>
        </w:rPr>
        <w:t xml:space="preserve">From 1 July 2023, emissions </w:t>
      </w:r>
      <w:r w:rsidR="00F44166">
        <w:rPr>
          <w:bCs/>
          <w:iCs/>
        </w:rPr>
        <w:t>baselines</w:t>
      </w:r>
      <w:r w:rsidR="00F44166" w:rsidRPr="00971D16">
        <w:rPr>
          <w:bCs/>
          <w:iCs/>
        </w:rPr>
        <w:t xml:space="preserve"> </w:t>
      </w:r>
      <w:r w:rsidRPr="00971D16">
        <w:rPr>
          <w:bCs/>
          <w:iCs/>
        </w:rPr>
        <w:t xml:space="preserve">for Safeguard Mechanism facilities will </w:t>
      </w:r>
      <w:r w:rsidR="0046662A" w:rsidRPr="00971D16">
        <w:rPr>
          <w:bCs/>
          <w:iCs/>
        </w:rPr>
        <w:t xml:space="preserve">start to </w:t>
      </w:r>
      <w:r w:rsidRPr="00971D16">
        <w:rPr>
          <w:bCs/>
          <w:iCs/>
        </w:rPr>
        <w:t xml:space="preserve">fall to contribute to Australia’s </w:t>
      </w:r>
      <w:r w:rsidR="00434794">
        <w:rPr>
          <w:bCs/>
          <w:iCs/>
        </w:rPr>
        <w:t>emissions reduction targets</w:t>
      </w:r>
      <w:r w:rsidRPr="00971D16">
        <w:rPr>
          <w:bCs/>
          <w:iCs/>
        </w:rPr>
        <w:t xml:space="preserve"> and help tackle climate change. </w:t>
      </w:r>
    </w:p>
    <w:p w14:paraId="2DC9A0FF" w14:textId="61E28B71" w:rsidR="00687C76" w:rsidRDefault="00687C76" w:rsidP="00687C76">
      <w:r>
        <w:t>Safeguard Mechanism facilities contributed 28</w:t>
      </w:r>
      <w:r w:rsidR="00626443">
        <w:t>%</w:t>
      </w:r>
      <w:r>
        <w:t xml:space="preserve"> of Australia’s national emissions in 2020</w:t>
      </w:r>
      <w:r w:rsidR="00626443">
        <w:t>–</w:t>
      </w:r>
      <w:r>
        <w:t xml:space="preserve">21. Their corresponding share of the national emissions target </w:t>
      </w:r>
      <w:r w:rsidR="00F44166">
        <w:t xml:space="preserve">(43% below 2005 levels by 2030) </w:t>
      </w:r>
      <w:r>
        <w:t xml:space="preserve">is no more than 100 million tonnes of </w:t>
      </w:r>
      <w:r w:rsidRPr="00B83BF6">
        <w:t>CO</w:t>
      </w:r>
      <w:r w:rsidRPr="00B83BF6">
        <w:rPr>
          <w:vertAlign w:val="subscript"/>
        </w:rPr>
        <w:t>2</w:t>
      </w:r>
      <w:r w:rsidRPr="00B83BF6">
        <w:noBreakHyphen/>
        <w:t>e</w:t>
      </w:r>
      <w:r>
        <w:t xml:space="preserve"> in 2030, and no more than 1,233 million tonnes of </w:t>
      </w:r>
      <w:r w:rsidRPr="00B83BF6">
        <w:t>CO</w:t>
      </w:r>
      <w:r w:rsidRPr="00B83BF6">
        <w:rPr>
          <w:vertAlign w:val="subscript"/>
        </w:rPr>
        <w:t>2</w:t>
      </w:r>
      <w:r w:rsidRPr="00B83BF6">
        <w:noBreakHyphen/>
        <w:t>e</w:t>
      </w:r>
      <w:r>
        <w:t xml:space="preserve"> in total between 2021 and 2030</w:t>
      </w:r>
      <w:r>
        <w:rPr>
          <w:rStyle w:val="FootnoteReference"/>
        </w:rPr>
        <w:footnoteReference w:id="2"/>
      </w:r>
      <w:r>
        <w:t xml:space="preserve">. </w:t>
      </w:r>
    </w:p>
    <w:p w14:paraId="2B3225FD" w14:textId="37EA7A8F" w:rsidR="00687C76" w:rsidRDefault="00687C76" w:rsidP="00687C76">
      <w:r>
        <w:t>This means net greenhouse gas emissions covered by the Safeguard will fall from a projected 143 million tonnes in 2022</w:t>
      </w:r>
      <w:r w:rsidR="00626443">
        <w:t>–</w:t>
      </w:r>
      <w:r>
        <w:t>23 before the reforms start, to no more than 100 million tonnes by 2030 and be capped at 1,233 million tonnes between 2021 and 2030. This will deliver an estimated 205 million tonnes of abatement by the end of the decade compared to emissions without these reforms</w:t>
      </w:r>
      <w:r>
        <w:rPr>
          <w:rStyle w:val="FootnoteReference"/>
        </w:rPr>
        <w:footnoteReference w:id="3"/>
      </w:r>
      <w:r>
        <w:t xml:space="preserve">. </w:t>
      </w:r>
    </w:p>
    <w:p w14:paraId="0306CB9C" w14:textId="35FEC666" w:rsidR="003E27F5" w:rsidRPr="003E27F5" w:rsidRDefault="0030650D" w:rsidP="003E27F5">
      <w:pPr>
        <w:pStyle w:val="Heading2"/>
        <w:keepLines w:val="0"/>
        <w:spacing w:before="120" w:after="120" w:line="240" w:lineRule="auto"/>
        <w:ind w:left="720" w:hanging="720"/>
        <w:rPr>
          <w:rFonts w:ascii="Calibri" w:eastAsiaTheme="minorEastAsia" w:hAnsi="Calibri" w:cstheme="minorBidi"/>
          <w:b/>
          <w:bCs/>
          <w:color w:val="197C7D"/>
          <w:sz w:val="28"/>
          <w:szCs w:val="28"/>
          <w:lang w:eastAsia="ja-JP"/>
        </w:rPr>
      </w:pPr>
      <w:r>
        <w:rPr>
          <w:rFonts w:ascii="Calibri" w:eastAsiaTheme="minorEastAsia" w:hAnsi="Calibri" w:cstheme="minorBidi"/>
          <w:b/>
          <w:bCs/>
          <w:color w:val="197C7D"/>
          <w:sz w:val="28"/>
          <w:szCs w:val="28"/>
          <w:lang w:eastAsia="ja-JP"/>
        </w:rPr>
        <w:t>Australia’s national greenhouse gas</w:t>
      </w:r>
      <w:r w:rsidR="00327319">
        <w:rPr>
          <w:rFonts w:ascii="Calibri" w:eastAsiaTheme="minorEastAsia" w:hAnsi="Calibri" w:cstheme="minorBidi"/>
          <w:b/>
          <w:bCs/>
          <w:color w:val="197C7D"/>
          <w:sz w:val="28"/>
          <w:szCs w:val="28"/>
          <w:lang w:eastAsia="ja-JP"/>
        </w:rPr>
        <w:t xml:space="preserve"> reduction target</w:t>
      </w:r>
      <w:r w:rsidR="003E27F5">
        <w:t xml:space="preserve"> </w:t>
      </w:r>
    </w:p>
    <w:p w14:paraId="7F967D09" w14:textId="4CE9D2DD" w:rsidR="0030650D" w:rsidRDefault="0030650D" w:rsidP="0030650D">
      <w:r>
        <w:t xml:space="preserve">Australia’s emissions reduction targets are enshrined in law. Our updated and more ambitious 2030 target </w:t>
      </w:r>
      <w:r w:rsidR="00F44166">
        <w:t xml:space="preserve">of 43% </w:t>
      </w:r>
      <w:r>
        <w:t>– Australia’s Nationally Determined Contribution (NDC) under the Paris Agreement – represents a major milestone on the path to net zero and is characterised as both:</w:t>
      </w:r>
    </w:p>
    <w:p w14:paraId="4B47B5BC" w14:textId="396C90F3" w:rsidR="0030650D" w:rsidRDefault="0030650D" w:rsidP="0030650D">
      <w:pPr>
        <w:pStyle w:val="ListParagraph"/>
        <w:numPr>
          <w:ilvl w:val="0"/>
          <w:numId w:val="11"/>
        </w:numPr>
        <w:ind w:left="425" w:hanging="425"/>
        <w:contextualSpacing w:val="0"/>
      </w:pPr>
      <w:r>
        <w:rPr>
          <w:b/>
        </w:rPr>
        <w:t xml:space="preserve">a </w:t>
      </w:r>
      <w:r w:rsidRPr="00F52384">
        <w:rPr>
          <w:b/>
        </w:rPr>
        <w:t>single-year (point) target</w:t>
      </w:r>
      <w:r w:rsidR="00626443">
        <w:t xml:space="preserve"> –</w:t>
      </w:r>
      <w:r>
        <w:t xml:space="preserve"> the indicative value for national emissions is no more than 354 Mt </w:t>
      </w:r>
      <w:r w:rsidRPr="00B83BF6">
        <w:t>CO</w:t>
      </w:r>
      <w:r w:rsidRPr="00B83BF6">
        <w:rPr>
          <w:vertAlign w:val="subscript"/>
        </w:rPr>
        <w:t>2</w:t>
      </w:r>
      <w:r w:rsidRPr="00B83BF6">
        <w:noBreakHyphen/>
        <w:t>e</w:t>
      </w:r>
      <w:r>
        <w:t xml:space="preserve"> in 2030</w:t>
      </w:r>
    </w:p>
    <w:p w14:paraId="1913C3B1" w14:textId="15017B51" w:rsidR="0030650D" w:rsidRDefault="0030650D" w:rsidP="0030650D">
      <w:pPr>
        <w:pStyle w:val="ListParagraph"/>
        <w:numPr>
          <w:ilvl w:val="0"/>
          <w:numId w:val="11"/>
        </w:numPr>
        <w:ind w:left="425" w:hanging="425"/>
        <w:contextualSpacing w:val="0"/>
      </w:pPr>
      <w:r>
        <w:rPr>
          <w:b/>
        </w:rPr>
        <w:t xml:space="preserve">a </w:t>
      </w:r>
      <w:r w:rsidRPr="00F52384">
        <w:rPr>
          <w:b/>
        </w:rPr>
        <w:t>multi-year emissions budget</w:t>
      </w:r>
      <w:r w:rsidR="00626443">
        <w:t xml:space="preserve"> –</w:t>
      </w:r>
      <w:r>
        <w:t xml:space="preserve"> the indicative value for the national emissions budget is no more than 4,381 Mt </w:t>
      </w:r>
      <w:r w:rsidRPr="00B83BF6">
        <w:t>CO</w:t>
      </w:r>
      <w:r w:rsidRPr="00B83BF6">
        <w:rPr>
          <w:vertAlign w:val="subscript"/>
        </w:rPr>
        <w:t>2</w:t>
      </w:r>
      <w:r w:rsidRPr="00B83BF6">
        <w:noBreakHyphen/>
        <w:t>e</w:t>
      </w:r>
      <w:r>
        <w:t xml:space="preserve"> for the decade from 2021 to 2030.</w:t>
      </w:r>
    </w:p>
    <w:p w14:paraId="5552FEC9" w14:textId="77777777" w:rsidR="0030650D" w:rsidRDefault="0030650D" w:rsidP="00971D16">
      <w:r>
        <w:t xml:space="preserve">The emissions budget is important. Global warming impacts are linked to greenhouse gas concentrations, so the total volume of emissions released over the decade better represents Australia’s contribution to global warming than emissions in a single year. </w:t>
      </w:r>
    </w:p>
    <w:p w14:paraId="56F4D194" w14:textId="77777777" w:rsidR="00CF0399" w:rsidRPr="003E27F5" w:rsidRDefault="00CF0399" w:rsidP="00CF0399">
      <w:pPr>
        <w:pStyle w:val="Heading2"/>
        <w:keepLines w:val="0"/>
        <w:spacing w:before="0" w:after="120" w:line="240" w:lineRule="auto"/>
        <w:ind w:left="720" w:hanging="720"/>
        <w:rPr>
          <w:rFonts w:ascii="Calibri" w:eastAsiaTheme="minorEastAsia" w:hAnsi="Calibri" w:cstheme="minorBidi"/>
          <w:b/>
          <w:bCs/>
          <w:color w:val="197C7D"/>
          <w:sz w:val="28"/>
          <w:szCs w:val="28"/>
          <w:lang w:eastAsia="ja-JP"/>
        </w:rPr>
      </w:pPr>
      <w:r>
        <w:rPr>
          <w:rFonts w:ascii="Calibri" w:eastAsiaTheme="minorEastAsia" w:hAnsi="Calibri" w:cstheme="minorBidi"/>
          <w:b/>
          <w:bCs/>
          <w:color w:val="197C7D"/>
          <w:sz w:val="28"/>
          <w:szCs w:val="28"/>
          <w:lang w:eastAsia="ja-JP"/>
        </w:rPr>
        <w:lastRenderedPageBreak/>
        <w:t xml:space="preserve">How much will </w:t>
      </w:r>
      <w:proofErr w:type="gramStart"/>
      <w:r>
        <w:rPr>
          <w:rFonts w:ascii="Calibri" w:eastAsiaTheme="minorEastAsia" w:hAnsi="Calibri" w:cstheme="minorBidi"/>
          <w:b/>
          <w:bCs/>
          <w:color w:val="197C7D"/>
          <w:sz w:val="28"/>
          <w:szCs w:val="28"/>
          <w:lang w:eastAsia="ja-JP"/>
        </w:rPr>
        <w:t>baselines</w:t>
      </w:r>
      <w:proofErr w:type="gramEnd"/>
      <w:r>
        <w:rPr>
          <w:rFonts w:ascii="Calibri" w:eastAsiaTheme="minorEastAsia" w:hAnsi="Calibri" w:cstheme="minorBidi"/>
          <w:b/>
          <w:bCs/>
          <w:color w:val="197C7D"/>
          <w:sz w:val="28"/>
          <w:szCs w:val="28"/>
          <w:lang w:eastAsia="ja-JP"/>
        </w:rPr>
        <w:t xml:space="preserve"> decline?</w:t>
      </w:r>
    </w:p>
    <w:p w14:paraId="09190C36" w14:textId="3A0595CC" w:rsidR="00CF0399" w:rsidRDefault="00CF0399" w:rsidP="00CF0399">
      <w:pPr>
        <w:keepLines/>
      </w:pPr>
      <w:r>
        <w:t xml:space="preserve">The </w:t>
      </w:r>
      <w:r w:rsidR="00626443">
        <w:t>g</w:t>
      </w:r>
      <w:r>
        <w:t xml:space="preserve">overnment proposes that each facility’s baseline will fall by </w:t>
      </w:r>
      <w:r>
        <w:rPr>
          <w:b/>
        </w:rPr>
        <w:t>4.9</w:t>
      </w:r>
      <w:r w:rsidR="00626443">
        <w:rPr>
          <w:b/>
        </w:rPr>
        <w:t>%</w:t>
      </w:r>
      <w:r w:rsidRPr="00204551">
        <w:rPr>
          <w:b/>
        </w:rPr>
        <w:t xml:space="preserve"> each year</w:t>
      </w:r>
      <w:r>
        <w:rPr>
          <w:b/>
        </w:rPr>
        <w:t xml:space="preserve"> to 2030</w:t>
      </w:r>
      <w:r>
        <w:t xml:space="preserve">. </w:t>
      </w:r>
      <w:r w:rsidR="00BA3AC6">
        <w:t>The baseline decline schedule will be set in the Safeguard Rule</w:t>
      </w:r>
      <w:r w:rsidR="0030650D">
        <w:rPr>
          <w:rStyle w:val="FootnoteReference"/>
        </w:rPr>
        <w:footnoteReference w:id="4"/>
      </w:r>
      <w:r w:rsidR="00BA3AC6">
        <w:t>.</w:t>
      </w:r>
    </w:p>
    <w:p w14:paraId="16E333D6" w14:textId="431F84C1" w:rsidR="00CF0399" w:rsidRDefault="00CF0399" w:rsidP="00CF0399">
      <w:pPr>
        <w:spacing w:before="240"/>
        <w:rPr>
          <w:rFonts w:ascii="Calibri Light" w:hAnsi="Calibri Light" w:cs="Calibri Light"/>
          <w:lang w:eastAsia="en-AU"/>
        </w:rPr>
      </w:pPr>
      <w:r>
        <w:t xml:space="preserve">The baseline decline </w:t>
      </w:r>
      <w:r w:rsidR="00A5020F">
        <w:t xml:space="preserve">rate is applied to each facility’s production-adjusted baseline each year </w:t>
      </w:r>
      <w:r w:rsidR="005D2ECD">
        <w:t xml:space="preserve">using a scaling factor </w:t>
      </w:r>
      <w:r>
        <w:t>(see Table 1</w:t>
      </w:r>
      <w:r w:rsidR="00BA3AC6">
        <w:t>). For example,</w:t>
      </w:r>
      <w:r>
        <w:t xml:space="preserve"> in 20</w:t>
      </w:r>
      <w:r w:rsidR="00BA3AC6">
        <w:t>23</w:t>
      </w:r>
      <w:r w:rsidR="0017294A">
        <w:t>–24</w:t>
      </w:r>
      <w:r w:rsidR="00BA3AC6">
        <w:t xml:space="preserve"> a facility’s baseline declines </w:t>
      </w:r>
      <w:r>
        <w:t>by 4.9</w:t>
      </w:r>
      <w:r w:rsidR="0017294A">
        <w:t>%</w:t>
      </w:r>
      <w:r>
        <w:t xml:space="preserve"> so it equals (1 – </w:t>
      </w:r>
      <w:proofErr w:type="gramStart"/>
      <w:r>
        <w:t>0.049)*</w:t>
      </w:r>
      <w:proofErr w:type="gramEnd"/>
      <w:r>
        <w:t>(production-adjusted baseline) or (0.951)*(production-adjusted baseline).</w:t>
      </w:r>
      <w:r w:rsidR="003B05A1">
        <w:t xml:space="preserve"> Refer </w:t>
      </w:r>
      <w:r w:rsidR="0017294A">
        <w:t xml:space="preserve">to </w:t>
      </w:r>
      <w:r w:rsidR="003B05A1">
        <w:t>factsheet 3 for a worked example.</w:t>
      </w:r>
    </w:p>
    <w:p w14:paraId="616A3479" w14:textId="2959F9C8" w:rsidR="00CF0399" w:rsidRPr="00C3084A" w:rsidRDefault="00CF0399" w:rsidP="00CF0399">
      <w:pPr>
        <w:shd w:val="clear" w:color="auto" w:fill="D9E2F3"/>
        <w:ind w:right="804"/>
        <w:rPr>
          <w:rFonts w:ascii="Calibri" w:hAnsi="Calibri" w:cs="Calibri"/>
          <w:b/>
          <w:bCs/>
        </w:rPr>
      </w:pPr>
      <w:r w:rsidRPr="00C3084A">
        <w:rPr>
          <w:b/>
          <w:bCs/>
        </w:rPr>
        <w:t>Table 1</w:t>
      </w:r>
      <w:r w:rsidR="00BA3AC6" w:rsidRPr="00C3084A">
        <w:rPr>
          <w:b/>
          <w:bCs/>
        </w:rPr>
        <w:t>.</w:t>
      </w:r>
      <w:r w:rsidRPr="00C3084A">
        <w:rPr>
          <w:b/>
          <w:bCs/>
        </w:rPr>
        <w:t xml:space="preserve"> Safeguard Mechanism baseline decline rate </w:t>
      </w:r>
    </w:p>
    <w:tbl>
      <w:tblPr>
        <w:tblW w:w="0" w:type="dxa"/>
        <w:tblCellMar>
          <w:left w:w="0" w:type="dxa"/>
          <w:right w:w="0" w:type="dxa"/>
        </w:tblCellMar>
        <w:tblLook w:val="04A0" w:firstRow="1" w:lastRow="0" w:firstColumn="1" w:lastColumn="0" w:noHBand="0" w:noVBand="1"/>
      </w:tblPr>
      <w:tblGrid>
        <w:gridCol w:w="3709"/>
        <w:gridCol w:w="4536"/>
      </w:tblGrid>
      <w:tr w:rsidR="00CF0399" w:rsidRPr="00C3084A" w14:paraId="0C151469" w14:textId="77777777" w:rsidTr="00CF0399">
        <w:tc>
          <w:tcPr>
            <w:tcW w:w="3709" w:type="dxa"/>
            <w:tcBorders>
              <w:top w:val="nil"/>
              <w:left w:val="nil"/>
              <w:bottom w:val="single" w:sz="12" w:space="0" w:color="8EAADB"/>
              <w:right w:val="nil"/>
            </w:tcBorders>
            <w:shd w:val="clear" w:color="auto" w:fill="FFFFFF"/>
            <w:tcMar>
              <w:top w:w="0" w:type="dxa"/>
              <w:left w:w="108" w:type="dxa"/>
              <w:bottom w:w="0" w:type="dxa"/>
              <w:right w:w="108" w:type="dxa"/>
            </w:tcMar>
            <w:hideMark/>
          </w:tcPr>
          <w:p w14:paraId="426BE0EC" w14:textId="7359FFFC" w:rsidR="00CF0399" w:rsidRPr="00EA4A69" w:rsidRDefault="00CF0399" w:rsidP="00CF0399">
            <w:pPr>
              <w:pStyle w:val="TableHeading"/>
              <w:jc w:val="center"/>
              <w:rPr>
                <w:rFonts w:asciiTheme="minorHAnsi" w:hAnsiTheme="minorHAnsi" w:cstheme="minorHAnsi"/>
                <w:color w:val="000000"/>
                <w:sz w:val="22"/>
                <w:szCs w:val="22"/>
                <w:lang w:eastAsia="en-US"/>
              </w:rPr>
            </w:pPr>
            <w:r w:rsidRPr="00EA4A69">
              <w:rPr>
                <w:rFonts w:asciiTheme="minorHAnsi" w:hAnsiTheme="minorHAnsi" w:cstheme="minorHAnsi"/>
                <w:bCs w:val="0"/>
                <w:color w:val="000000"/>
                <w:sz w:val="22"/>
                <w:szCs w:val="22"/>
                <w:lang w:eastAsia="en-US"/>
              </w:rPr>
              <w:t xml:space="preserve">Compliance year </w:t>
            </w:r>
          </w:p>
        </w:tc>
        <w:tc>
          <w:tcPr>
            <w:tcW w:w="4536" w:type="dxa"/>
            <w:tcBorders>
              <w:top w:val="nil"/>
              <w:left w:val="nil"/>
              <w:bottom w:val="single" w:sz="12" w:space="0" w:color="8EAADB"/>
              <w:right w:val="nil"/>
            </w:tcBorders>
            <w:shd w:val="clear" w:color="auto" w:fill="FFFFFF"/>
            <w:tcMar>
              <w:top w:w="0" w:type="dxa"/>
              <w:left w:w="108" w:type="dxa"/>
              <w:bottom w:w="0" w:type="dxa"/>
              <w:right w:w="108" w:type="dxa"/>
            </w:tcMar>
            <w:hideMark/>
          </w:tcPr>
          <w:p w14:paraId="3FA084D7" w14:textId="77777777" w:rsidR="00CF0399" w:rsidRPr="00EA4A69" w:rsidRDefault="00CF0399">
            <w:pPr>
              <w:pStyle w:val="TableHeading"/>
              <w:jc w:val="center"/>
              <w:rPr>
                <w:rFonts w:asciiTheme="minorHAnsi" w:hAnsiTheme="minorHAnsi" w:cstheme="minorHAnsi"/>
                <w:color w:val="000000"/>
                <w:sz w:val="22"/>
                <w:szCs w:val="22"/>
                <w:lang w:eastAsia="en-US"/>
              </w:rPr>
            </w:pPr>
            <w:r w:rsidRPr="00EA4A69">
              <w:rPr>
                <w:rFonts w:asciiTheme="minorHAnsi" w:hAnsiTheme="minorHAnsi" w:cstheme="minorHAnsi"/>
                <w:bCs w:val="0"/>
                <w:color w:val="000000"/>
                <w:sz w:val="22"/>
                <w:szCs w:val="22"/>
                <w:lang w:eastAsia="en-US"/>
              </w:rPr>
              <w:t>Baseline decline scaling factor</w:t>
            </w:r>
          </w:p>
        </w:tc>
      </w:tr>
      <w:tr w:rsidR="00CF0399" w:rsidRPr="00C3084A" w14:paraId="3A39E076" w14:textId="77777777" w:rsidTr="00CF0399">
        <w:tc>
          <w:tcPr>
            <w:tcW w:w="370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FBCADA1" w14:textId="2B34AB7F" w:rsidR="00CF0399" w:rsidRPr="00C3084A" w:rsidRDefault="00CF0399">
            <w:pPr>
              <w:pStyle w:val="Tabletext"/>
              <w:rPr>
                <w:rFonts w:asciiTheme="minorHAnsi" w:hAnsiTheme="minorHAnsi" w:cstheme="minorHAnsi"/>
                <w:color w:val="000000"/>
                <w:sz w:val="22"/>
                <w:szCs w:val="22"/>
                <w:lang w:eastAsia="en-US"/>
              </w:rPr>
            </w:pPr>
            <w:r w:rsidRPr="00C3084A">
              <w:rPr>
                <w:rFonts w:asciiTheme="minorHAnsi" w:hAnsiTheme="minorHAnsi" w:cstheme="minorHAnsi"/>
                <w:color w:val="000000"/>
                <w:sz w:val="22"/>
                <w:szCs w:val="22"/>
                <w:lang w:eastAsia="en-US"/>
              </w:rPr>
              <w:t>2023</w:t>
            </w:r>
            <w:r w:rsidR="0017294A">
              <w:rPr>
                <w:rFonts w:asciiTheme="minorHAnsi" w:hAnsiTheme="minorHAnsi" w:cstheme="minorHAnsi"/>
                <w:color w:val="000000"/>
                <w:sz w:val="22"/>
                <w:szCs w:val="22"/>
                <w:lang w:eastAsia="en-US"/>
              </w:rPr>
              <w:t>–</w:t>
            </w:r>
            <w:r w:rsidRPr="00C3084A">
              <w:rPr>
                <w:rFonts w:asciiTheme="minorHAnsi" w:hAnsiTheme="minorHAnsi" w:cstheme="minorHAnsi"/>
                <w:color w:val="000000"/>
                <w:sz w:val="22"/>
                <w:szCs w:val="22"/>
                <w:lang w:eastAsia="en-US"/>
              </w:rPr>
              <w:t>24</w:t>
            </w:r>
          </w:p>
        </w:tc>
        <w:tc>
          <w:tcPr>
            <w:tcW w:w="4536" w:type="dxa"/>
            <w:tcBorders>
              <w:top w:val="nil"/>
              <w:left w:val="nil"/>
              <w:bottom w:val="single" w:sz="8" w:space="0" w:color="8EAADB"/>
              <w:right w:val="nil"/>
            </w:tcBorders>
            <w:shd w:val="clear" w:color="auto" w:fill="D9E2F3"/>
            <w:tcMar>
              <w:top w:w="0" w:type="dxa"/>
              <w:left w:w="108" w:type="dxa"/>
              <w:bottom w:w="0" w:type="dxa"/>
              <w:right w:w="108" w:type="dxa"/>
            </w:tcMar>
            <w:hideMark/>
          </w:tcPr>
          <w:p w14:paraId="245DB6C8" w14:textId="77777777" w:rsidR="00CF0399" w:rsidRPr="00C3084A" w:rsidRDefault="00CF0399">
            <w:pPr>
              <w:pStyle w:val="Tabletext"/>
              <w:jc w:val="center"/>
              <w:rPr>
                <w:rFonts w:asciiTheme="minorHAnsi" w:hAnsiTheme="minorHAnsi" w:cstheme="minorHAnsi"/>
                <w:color w:val="000000"/>
                <w:sz w:val="22"/>
                <w:szCs w:val="22"/>
                <w:lang w:eastAsia="en-US"/>
              </w:rPr>
            </w:pPr>
            <w:r w:rsidRPr="00C3084A">
              <w:rPr>
                <w:rFonts w:asciiTheme="minorHAnsi" w:hAnsiTheme="minorHAnsi" w:cstheme="minorHAnsi"/>
                <w:color w:val="000000"/>
                <w:sz w:val="22"/>
                <w:szCs w:val="22"/>
                <w:lang w:eastAsia="en-US"/>
              </w:rPr>
              <w:t>0.951</w:t>
            </w:r>
          </w:p>
        </w:tc>
      </w:tr>
      <w:tr w:rsidR="00CF0399" w:rsidRPr="00C3084A" w14:paraId="28141AB1" w14:textId="77777777" w:rsidTr="00CF0399">
        <w:tc>
          <w:tcPr>
            <w:tcW w:w="3709" w:type="dxa"/>
            <w:tcBorders>
              <w:top w:val="nil"/>
              <w:left w:val="nil"/>
              <w:bottom w:val="single" w:sz="8" w:space="0" w:color="8EAADB"/>
              <w:right w:val="single" w:sz="8" w:space="0" w:color="8EAADB"/>
            </w:tcBorders>
            <w:tcMar>
              <w:top w:w="0" w:type="dxa"/>
              <w:left w:w="108" w:type="dxa"/>
              <w:bottom w:w="0" w:type="dxa"/>
              <w:right w:w="108" w:type="dxa"/>
            </w:tcMar>
            <w:hideMark/>
          </w:tcPr>
          <w:p w14:paraId="5964E57C" w14:textId="1EA3E747" w:rsidR="00CF0399" w:rsidRPr="00C3084A" w:rsidRDefault="00CF0399">
            <w:pPr>
              <w:pStyle w:val="Tabletext"/>
              <w:rPr>
                <w:rFonts w:asciiTheme="minorHAnsi" w:hAnsiTheme="minorHAnsi" w:cstheme="minorHAnsi"/>
                <w:bCs/>
                <w:color w:val="000000"/>
                <w:sz w:val="22"/>
                <w:szCs w:val="22"/>
                <w:lang w:eastAsia="en-US"/>
              </w:rPr>
            </w:pPr>
            <w:r w:rsidRPr="00C3084A">
              <w:rPr>
                <w:rFonts w:asciiTheme="minorHAnsi" w:hAnsiTheme="minorHAnsi" w:cstheme="minorHAnsi"/>
                <w:bCs/>
                <w:color w:val="000000"/>
                <w:sz w:val="22"/>
                <w:szCs w:val="22"/>
                <w:lang w:eastAsia="en-US"/>
              </w:rPr>
              <w:t>2024</w:t>
            </w:r>
            <w:r w:rsidR="0017294A">
              <w:rPr>
                <w:rFonts w:asciiTheme="minorHAnsi" w:hAnsiTheme="minorHAnsi" w:cstheme="minorHAnsi"/>
                <w:bCs/>
                <w:color w:val="000000"/>
                <w:sz w:val="22"/>
                <w:szCs w:val="22"/>
                <w:lang w:eastAsia="en-US"/>
              </w:rPr>
              <w:t>–</w:t>
            </w:r>
            <w:r w:rsidRPr="00C3084A">
              <w:rPr>
                <w:rFonts w:asciiTheme="minorHAnsi" w:hAnsiTheme="minorHAnsi" w:cstheme="minorHAnsi"/>
                <w:bCs/>
                <w:color w:val="000000"/>
                <w:sz w:val="22"/>
                <w:szCs w:val="22"/>
                <w:lang w:eastAsia="en-US"/>
              </w:rPr>
              <w:t>25</w:t>
            </w:r>
          </w:p>
        </w:tc>
        <w:tc>
          <w:tcPr>
            <w:tcW w:w="4536" w:type="dxa"/>
            <w:tcBorders>
              <w:top w:val="nil"/>
              <w:left w:val="nil"/>
              <w:bottom w:val="single" w:sz="8" w:space="0" w:color="8EAADB"/>
              <w:right w:val="nil"/>
            </w:tcBorders>
            <w:tcMar>
              <w:top w:w="0" w:type="dxa"/>
              <w:left w:w="108" w:type="dxa"/>
              <w:bottom w:w="0" w:type="dxa"/>
              <w:right w:w="108" w:type="dxa"/>
            </w:tcMar>
            <w:hideMark/>
          </w:tcPr>
          <w:p w14:paraId="0EC49EFD" w14:textId="77777777" w:rsidR="00CF0399" w:rsidRPr="00C3084A" w:rsidRDefault="00CF0399">
            <w:pPr>
              <w:pStyle w:val="Tabletext"/>
              <w:jc w:val="center"/>
              <w:rPr>
                <w:rFonts w:asciiTheme="minorHAnsi" w:hAnsiTheme="minorHAnsi" w:cstheme="minorHAnsi"/>
                <w:color w:val="000000"/>
                <w:sz w:val="22"/>
                <w:szCs w:val="22"/>
                <w:lang w:eastAsia="en-US"/>
              </w:rPr>
            </w:pPr>
            <w:r w:rsidRPr="00C3084A">
              <w:rPr>
                <w:rFonts w:asciiTheme="minorHAnsi" w:hAnsiTheme="minorHAnsi" w:cstheme="minorHAnsi"/>
                <w:color w:val="000000"/>
                <w:sz w:val="22"/>
                <w:szCs w:val="22"/>
                <w:lang w:eastAsia="en-US"/>
              </w:rPr>
              <w:t>0.902</w:t>
            </w:r>
          </w:p>
        </w:tc>
      </w:tr>
      <w:tr w:rsidR="00CF0399" w:rsidRPr="00C3084A" w14:paraId="31851398" w14:textId="77777777" w:rsidTr="00CF0399">
        <w:tc>
          <w:tcPr>
            <w:tcW w:w="370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2650B66B" w14:textId="10EC54DB" w:rsidR="00CF0399" w:rsidRPr="00C3084A" w:rsidRDefault="00CF0399">
            <w:pPr>
              <w:pStyle w:val="Tabletext"/>
              <w:rPr>
                <w:rFonts w:asciiTheme="minorHAnsi" w:hAnsiTheme="minorHAnsi" w:cstheme="minorHAnsi"/>
                <w:bCs/>
                <w:i/>
                <w:iCs/>
                <w:color w:val="000000"/>
                <w:sz w:val="22"/>
                <w:szCs w:val="22"/>
                <w:lang w:eastAsia="en-US"/>
              </w:rPr>
            </w:pPr>
            <w:r w:rsidRPr="00C3084A">
              <w:rPr>
                <w:rFonts w:asciiTheme="minorHAnsi" w:hAnsiTheme="minorHAnsi" w:cstheme="minorHAnsi"/>
                <w:bCs/>
                <w:color w:val="000000"/>
                <w:sz w:val="22"/>
                <w:szCs w:val="22"/>
                <w:lang w:eastAsia="en-US"/>
              </w:rPr>
              <w:t>2025</w:t>
            </w:r>
            <w:r w:rsidR="0017294A">
              <w:rPr>
                <w:rFonts w:asciiTheme="minorHAnsi" w:hAnsiTheme="minorHAnsi" w:cstheme="minorHAnsi"/>
                <w:bCs/>
                <w:color w:val="000000"/>
                <w:sz w:val="22"/>
                <w:szCs w:val="22"/>
                <w:lang w:eastAsia="en-US"/>
              </w:rPr>
              <w:t>–</w:t>
            </w:r>
            <w:r w:rsidRPr="00C3084A">
              <w:rPr>
                <w:rFonts w:asciiTheme="minorHAnsi" w:hAnsiTheme="minorHAnsi" w:cstheme="minorHAnsi"/>
                <w:bCs/>
                <w:color w:val="000000"/>
                <w:sz w:val="22"/>
                <w:szCs w:val="22"/>
                <w:lang w:eastAsia="en-US"/>
              </w:rPr>
              <w:t>26</w:t>
            </w:r>
          </w:p>
        </w:tc>
        <w:tc>
          <w:tcPr>
            <w:tcW w:w="4536" w:type="dxa"/>
            <w:tcBorders>
              <w:top w:val="nil"/>
              <w:left w:val="nil"/>
              <w:bottom w:val="single" w:sz="8" w:space="0" w:color="8EAADB"/>
              <w:right w:val="nil"/>
            </w:tcBorders>
            <w:shd w:val="clear" w:color="auto" w:fill="D9E2F3"/>
            <w:tcMar>
              <w:top w:w="0" w:type="dxa"/>
              <w:left w:w="108" w:type="dxa"/>
              <w:bottom w:w="0" w:type="dxa"/>
              <w:right w:w="108" w:type="dxa"/>
            </w:tcMar>
            <w:hideMark/>
          </w:tcPr>
          <w:p w14:paraId="0172F09B" w14:textId="77777777" w:rsidR="00CF0399" w:rsidRPr="00C3084A" w:rsidRDefault="00CF0399">
            <w:pPr>
              <w:pStyle w:val="Tabletext"/>
              <w:jc w:val="center"/>
              <w:rPr>
                <w:rFonts w:asciiTheme="minorHAnsi" w:hAnsiTheme="minorHAnsi" w:cstheme="minorHAnsi"/>
                <w:color w:val="000000"/>
                <w:sz w:val="22"/>
                <w:szCs w:val="22"/>
                <w:lang w:eastAsia="en-US"/>
              </w:rPr>
            </w:pPr>
            <w:r w:rsidRPr="00C3084A">
              <w:rPr>
                <w:rFonts w:asciiTheme="minorHAnsi" w:hAnsiTheme="minorHAnsi" w:cstheme="minorHAnsi"/>
                <w:color w:val="000000"/>
                <w:sz w:val="22"/>
                <w:szCs w:val="22"/>
                <w:lang w:eastAsia="en-US"/>
              </w:rPr>
              <w:t>0.853</w:t>
            </w:r>
          </w:p>
        </w:tc>
      </w:tr>
      <w:tr w:rsidR="00CF0399" w:rsidRPr="00C3084A" w14:paraId="06E57924" w14:textId="77777777" w:rsidTr="00CF0399">
        <w:tc>
          <w:tcPr>
            <w:tcW w:w="3709" w:type="dxa"/>
            <w:tcBorders>
              <w:top w:val="nil"/>
              <w:left w:val="nil"/>
              <w:bottom w:val="single" w:sz="8" w:space="0" w:color="8EAADB"/>
              <w:right w:val="single" w:sz="8" w:space="0" w:color="8EAADB"/>
            </w:tcBorders>
            <w:tcMar>
              <w:top w:w="0" w:type="dxa"/>
              <w:left w:w="108" w:type="dxa"/>
              <w:bottom w:w="0" w:type="dxa"/>
              <w:right w:w="108" w:type="dxa"/>
            </w:tcMar>
            <w:hideMark/>
          </w:tcPr>
          <w:p w14:paraId="594D8B48" w14:textId="558002AA" w:rsidR="00CF0399" w:rsidRPr="00C3084A" w:rsidRDefault="00CF0399">
            <w:pPr>
              <w:pStyle w:val="Tabletext"/>
              <w:rPr>
                <w:rFonts w:asciiTheme="minorHAnsi" w:hAnsiTheme="minorHAnsi" w:cstheme="minorHAnsi"/>
                <w:bCs/>
                <w:i/>
                <w:iCs/>
                <w:color w:val="000000"/>
                <w:sz w:val="22"/>
                <w:szCs w:val="22"/>
                <w:lang w:eastAsia="en-US"/>
              </w:rPr>
            </w:pPr>
            <w:r w:rsidRPr="00C3084A">
              <w:rPr>
                <w:rFonts w:asciiTheme="minorHAnsi" w:hAnsiTheme="minorHAnsi" w:cstheme="minorHAnsi"/>
                <w:bCs/>
                <w:color w:val="000000"/>
                <w:sz w:val="22"/>
                <w:szCs w:val="22"/>
                <w:lang w:eastAsia="en-US"/>
              </w:rPr>
              <w:t>2026</w:t>
            </w:r>
            <w:r w:rsidR="0017294A">
              <w:rPr>
                <w:rFonts w:asciiTheme="minorHAnsi" w:hAnsiTheme="minorHAnsi" w:cstheme="minorHAnsi"/>
                <w:bCs/>
                <w:color w:val="000000"/>
                <w:sz w:val="22"/>
                <w:szCs w:val="22"/>
                <w:lang w:eastAsia="en-US"/>
              </w:rPr>
              <w:t>–</w:t>
            </w:r>
            <w:r w:rsidRPr="00C3084A">
              <w:rPr>
                <w:rFonts w:asciiTheme="minorHAnsi" w:hAnsiTheme="minorHAnsi" w:cstheme="minorHAnsi"/>
                <w:bCs/>
                <w:color w:val="000000"/>
                <w:sz w:val="22"/>
                <w:szCs w:val="22"/>
                <w:lang w:eastAsia="en-US"/>
              </w:rPr>
              <w:t>27</w:t>
            </w:r>
          </w:p>
        </w:tc>
        <w:tc>
          <w:tcPr>
            <w:tcW w:w="4536" w:type="dxa"/>
            <w:tcBorders>
              <w:top w:val="nil"/>
              <w:left w:val="nil"/>
              <w:bottom w:val="single" w:sz="8" w:space="0" w:color="8EAADB"/>
              <w:right w:val="nil"/>
            </w:tcBorders>
            <w:tcMar>
              <w:top w:w="0" w:type="dxa"/>
              <w:left w:w="108" w:type="dxa"/>
              <w:bottom w:w="0" w:type="dxa"/>
              <w:right w:w="108" w:type="dxa"/>
            </w:tcMar>
            <w:hideMark/>
          </w:tcPr>
          <w:p w14:paraId="0EE51F11" w14:textId="77777777" w:rsidR="00CF0399" w:rsidRPr="00C3084A" w:rsidRDefault="00CF0399">
            <w:pPr>
              <w:pStyle w:val="Tabletext"/>
              <w:jc w:val="center"/>
              <w:rPr>
                <w:rFonts w:asciiTheme="minorHAnsi" w:hAnsiTheme="minorHAnsi" w:cstheme="minorHAnsi"/>
                <w:color w:val="000000"/>
                <w:sz w:val="22"/>
                <w:szCs w:val="22"/>
                <w:lang w:eastAsia="en-US"/>
              </w:rPr>
            </w:pPr>
            <w:r w:rsidRPr="00C3084A">
              <w:rPr>
                <w:rFonts w:asciiTheme="minorHAnsi" w:hAnsiTheme="minorHAnsi" w:cstheme="minorHAnsi"/>
                <w:color w:val="000000"/>
                <w:sz w:val="22"/>
                <w:szCs w:val="22"/>
                <w:lang w:eastAsia="en-US"/>
              </w:rPr>
              <w:t>0.804</w:t>
            </w:r>
          </w:p>
        </w:tc>
      </w:tr>
      <w:tr w:rsidR="00CF0399" w:rsidRPr="00C3084A" w14:paraId="2784771D" w14:textId="77777777" w:rsidTr="00CF0399">
        <w:tc>
          <w:tcPr>
            <w:tcW w:w="370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2C6502C4" w14:textId="2AF31AF0" w:rsidR="00CF0399" w:rsidRPr="00C3084A" w:rsidRDefault="00CF0399">
            <w:pPr>
              <w:pStyle w:val="Tabletext"/>
              <w:rPr>
                <w:rFonts w:asciiTheme="minorHAnsi" w:hAnsiTheme="minorHAnsi" w:cstheme="minorHAnsi"/>
                <w:bCs/>
                <w:i/>
                <w:iCs/>
                <w:color w:val="000000"/>
                <w:sz w:val="22"/>
                <w:szCs w:val="22"/>
                <w:lang w:eastAsia="en-US"/>
              </w:rPr>
            </w:pPr>
            <w:r w:rsidRPr="00C3084A">
              <w:rPr>
                <w:rFonts w:asciiTheme="minorHAnsi" w:hAnsiTheme="minorHAnsi" w:cstheme="minorHAnsi"/>
                <w:bCs/>
                <w:color w:val="000000"/>
                <w:sz w:val="22"/>
                <w:szCs w:val="22"/>
                <w:lang w:eastAsia="en-US"/>
              </w:rPr>
              <w:t>2027</w:t>
            </w:r>
            <w:r w:rsidR="0017294A">
              <w:rPr>
                <w:rFonts w:asciiTheme="minorHAnsi" w:hAnsiTheme="minorHAnsi" w:cstheme="minorHAnsi"/>
                <w:bCs/>
                <w:color w:val="000000"/>
                <w:sz w:val="22"/>
                <w:szCs w:val="22"/>
                <w:lang w:eastAsia="en-US"/>
              </w:rPr>
              <w:t>–</w:t>
            </w:r>
            <w:r w:rsidRPr="00C3084A">
              <w:rPr>
                <w:rFonts w:asciiTheme="minorHAnsi" w:hAnsiTheme="minorHAnsi" w:cstheme="minorHAnsi"/>
                <w:bCs/>
                <w:color w:val="000000"/>
                <w:sz w:val="22"/>
                <w:szCs w:val="22"/>
                <w:lang w:eastAsia="en-US"/>
              </w:rPr>
              <w:t>28</w:t>
            </w:r>
          </w:p>
        </w:tc>
        <w:tc>
          <w:tcPr>
            <w:tcW w:w="4536" w:type="dxa"/>
            <w:tcBorders>
              <w:top w:val="nil"/>
              <w:left w:val="nil"/>
              <w:bottom w:val="single" w:sz="8" w:space="0" w:color="8EAADB"/>
              <w:right w:val="nil"/>
            </w:tcBorders>
            <w:shd w:val="clear" w:color="auto" w:fill="D9E2F3"/>
            <w:tcMar>
              <w:top w:w="0" w:type="dxa"/>
              <w:left w:w="108" w:type="dxa"/>
              <w:bottom w:w="0" w:type="dxa"/>
              <w:right w:w="108" w:type="dxa"/>
            </w:tcMar>
            <w:hideMark/>
          </w:tcPr>
          <w:p w14:paraId="3A27E4E2" w14:textId="77777777" w:rsidR="00CF0399" w:rsidRPr="00C3084A" w:rsidRDefault="00CF0399">
            <w:pPr>
              <w:pStyle w:val="Tabletext"/>
              <w:jc w:val="center"/>
              <w:rPr>
                <w:rFonts w:asciiTheme="minorHAnsi" w:hAnsiTheme="minorHAnsi" w:cstheme="minorHAnsi"/>
                <w:color w:val="000000"/>
                <w:sz w:val="22"/>
                <w:szCs w:val="22"/>
                <w:lang w:eastAsia="en-US"/>
              </w:rPr>
            </w:pPr>
            <w:r w:rsidRPr="00C3084A">
              <w:rPr>
                <w:rFonts w:asciiTheme="minorHAnsi" w:hAnsiTheme="minorHAnsi" w:cstheme="minorHAnsi"/>
                <w:color w:val="000000"/>
                <w:sz w:val="22"/>
                <w:szCs w:val="22"/>
                <w:lang w:eastAsia="en-US"/>
              </w:rPr>
              <w:t>0.755</w:t>
            </w:r>
          </w:p>
        </w:tc>
      </w:tr>
      <w:tr w:rsidR="00CF0399" w:rsidRPr="00C3084A" w14:paraId="37DC26F0" w14:textId="77777777" w:rsidTr="00CF0399">
        <w:tc>
          <w:tcPr>
            <w:tcW w:w="3709" w:type="dxa"/>
            <w:tcBorders>
              <w:top w:val="nil"/>
              <w:left w:val="nil"/>
              <w:bottom w:val="single" w:sz="8" w:space="0" w:color="8EAADB"/>
              <w:right w:val="single" w:sz="8" w:space="0" w:color="8EAADB"/>
            </w:tcBorders>
            <w:tcMar>
              <w:top w:w="0" w:type="dxa"/>
              <w:left w:w="108" w:type="dxa"/>
              <w:bottom w:w="0" w:type="dxa"/>
              <w:right w:w="108" w:type="dxa"/>
            </w:tcMar>
            <w:hideMark/>
          </w:tcPr>
          <w:p w14:paraId="1FDA522D" w14:textId="4B5D213C" w:rsidR="00CF0399" w:rsidRPr="00C3084A" w:rsidRDefault="00CF0399">
            <w:pPr>
              <w:pStyle w:val="Tabletext"/>
              <w:rPr>
                <w:rFonts w:asciiTheme="minorHAnsi" w:hAnsiTheme="minorHAnsi" w:cstheme="minorHAnsi"/>
                <w:bCs/>
                <w:i/>
                <w:iCs/>
                <w:color w:val="000000"/>
                <w:sz w:val="22"/>
                <w:szCs w:val="22"/>
                <w:lang w:eastAsia="en-US"/>
              </w:rPr>
            </w:pPr>
            <w:r w:rsidRPr="00C3084A">
              <w:rPr>
                <w:rFonts w:asciiTheme="minorHAnsi" w:hAnsiTheme="minorHAnsi" w:cstheme="minorHAnsi"/>
                <w:bCs/>
                <w:color w:val="000000"/>
                <w:sz w:val="22"/>
                <w:szCs w:val="22"/>
                <w:lang w:eastAsia="en-US"/>
              </w:rPr>
              <w:t>2028</w:t>
            </w:r>
            <w:r w:rsidR="0017294A">
              <w:rPr>
                <w:rFonts w:asciiTheme="minorHAnsi" w:hAnsiTheme="minorHAnsi" w:cstheme="minorHAnsi"/>
                <w:bCs/>
                <w:color w:val="000000"/>
                <w:sz w:val="22"/>
                <w:szCs w:val="22"/>
                <w:lang w:eastAsia="en-US"/>
              </w:rPr>
              <w:t>–</w:t>
            </w:r>
            <w:r w:rsidRPr="00C3084A">
              <w:rPr>
                <w:rFonts w:asciiTheme="minorHAnsi" w:hAnsiTheme="minorHAnsi" w:cstheme="minorHAnsi"/>
                <w:bCs/>
                <w:color w:val="000000"/>
                <w:sz w:val="22"/>
                <w:szCs w:val="22"/>
                <w:lang w:eastAsia="en-US"/>
              </w:rPr>
              <w:t>29</w:t>
            </w:r>
          </w:p>
        </w:tc>
        <w:tc>
          <w:tcPr>
            <w:tcW w:w="4536" w:type="dxa"/>
            <w:tcBorders>
              <w:top w:val="nil"/>
              <w:left w:val="nil"/>
              <w:bottom w:val="single" w:sz="8" w:space="0" w:color="8EAADB"/>
              <w:right w:val="nil"/>
            </w:tcBorders>
            <w:tcMar>
              <w:top w:w="0" w:type="dxa"/>
              <w:left w:w="108" w:type="dxa"/>
              <w:bottom w:w="0" w:type="dxa"/>
              <w:right w:w="108" w:type="dxa"/>
            </w:tcMar>
            <w:hideMark/>
          </w:tcPr>
          <w:p w14:paraId="158F5C7F" w14:textId="77777777" w:rsidR="00CF0399" w:rsidRPr="00C3084A" w:rsidRDefault="00CF0399">
            <w:pPr>
              <w:pStyle w:val="Tabletext"/>
              <w:jc w:val="center"/>
              <w:rPr>
                <w:rFonts w:asciiTheme="minorHAnsi" w:hAnsiTheme="minorHAnsi" w:cstheme="minorHAnsi"/>
                <w:color w:val="000000"/>
                <w:sz w:val="22"/>
                <w:szCs w:val="22"/>
                <w:lang w:eastAsia="en-US"/>
              </w:rPr>
            </w:pPr>
            <w:r w:rsidRPr="00C3084A">
              <w:rPr>
                <w:rFonts w:asciiTheme="minorHAnsi" w:hAnsiTheme="minorHAnsi" w:cstheme="minorHAnsi"/>
                <w:color w:val="000000"/>
                <w:sz w:val="22"/>
                <w:szCs w:val="22"/>
                <w:lang w:eastAsia="en-US"/>
              </w:rPr>
              <w:t>0.706</w:t>
            </w:r>
          </w:p>
        </w:tc>
      </w:tr>
      <w:tr w:rsidR="00CF0399" w:rsidRPr="00C3084A" w14:paraId="5124D7D7" w14:textId="77777777" w:rsidTr="00CF0399">
        <w:tc>
          <w:tcPr>
            <w:tcW w:w="370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3CEA4E0" w14:textId="4ED0CF8A" w:rsidR="00CF0399" w:rsidRPr="00C3084A" w:rsidRDefault="00CF0399">
            <w:pPr>
              <w:pStyle w:val="Tabletext"/>
              <w:rPr>
                <w:rFonts w:asciiTheme="minorHAnsi" w:hAnsiTheme="minorHAnsi" w:cstheme="minorHAnsi"/>
                <w:bCs/>
                <w:i/>
                <w:iCs/>
                <w:color w:val="000000"/>
                <w:sz w:val="22"/>
                <w:szCs w:val="22"/>
                <w:lang w:eastAsia="en-US"/>
              </w:rPr>
            </w:pPr>
            <w:r w:rsidRPr="00C3084A">
              <w:rPr>
                <w:rFonts w:asciiTheme="minorHAnsi" w:hAnsiTheme="minorHAnsi" w:cstheme="minorHAnsi"/>
                <w:bCs/>
                <w:color w:val="000000"/>
                <w:sz w:val="22"/>
                <w:szCs w:val="22"/>
                <w:lang w:eastAsia="en-US"/>
              </w:rPr>
              <w:t>2029</w:t>
            </w:r>
            <w:r w:rsidR="0017294A">
              <w:rPr>
                <w:rFonts w:asciiTheme="minorHAnsi" w:hAnsiTheme="minorHAnsi" w:cstheme="minorHAnsi"/>
                <w:bCs/>
                <w:color w:val="000000"/>
                <w:sz w:val="22"/>
                <w:szCs w:val="22"/>
                <w:lang w:eastAsia="en-US"/>
              </w:rPr>
              <w:t>–</w:t>
            </w:r>
            <w:r w:rsidRPr="00C3084A">
              <w:rPr>
                <w:rFonts w:asciiTheme="minorHAnsi" w:hAnsiTheme="minorHAnsi" w:cstheme="minorHAnsi"/>
                <w:bCs/>
                <w:color w:val="000000"/>
                <w:sz w:val="22"/>
                <w:szCs w:val="22"/>
                <w:lang w:eastAsia="en-US"/>
              </w:rPr>
              <w:t>30</w:t>
            </w:r>
          </w:p>
        </w:tc>
        <w:tc>
          <w:tcPr>
            <w:tcW w:w="4536" w:type="dxa"/>
            <w:tcBorders>
              <w:top w:val="nil"/>
              <w:left w:val="nil"/>
              <w:bottom w:val="single" w:sz="8" w:space="0" w:color="8EAADB"/>
              <w:right w:val="nil"/>
            </w:tcBorders>
            <w:shd w:val="clear" w:color="auto" w:fill="D9E2F3"/>
            <w:tcMar>
              <w:top w:w="0" w:type="dxa"/>
              <w:left w:w="108" w:type="dxa"/>
              <w:bottom w:w="0" w:type="dxa"/>
              <w:right w:w="108" w:type="dxa"/>
            </w:tcMar>
            <w:hideMark/>
          </w:tcPr>
          <w:p w14:paraId="7997D720" w14:textId="77777777" w:rsidR="00CF0399" w:rsidRPr="00C3084A" w:rsidRDefault="00CF0399">
            <w:pPr>
              <w:pStyle w:val="Tabletext"/>
              <w:jc w:val="center"/>
              <w:rPr>
                <w:rFonts w:asciiTheme="minorHAnsi" w:hAnsiTheme="minorHAnsi" w:cstheme="minorHAnsi"/>
                <w:color w:val="000000"/>
                <w:sz w:val="22"/>
                <w:szCs w:val="22"/>
                <w:lang w:eastAsia="en-US"/>
              </w:rPr>
            </w:pPr>
            <w:r w:rsidRPr="00C3084A">
              <w:rPr>
                <w:rFonts w:asciiTheme="minorHAnsi" w:hAnsiTheme="minorHAnsi" w:cstheme="minorHAnsi"/>
                <w:color w:val="000000"/>
                <w:sz w:val="22"/>
                <w:szCs w:val="22"/>
                <w:lang w:eastAsia="en-US"/>
              </w:rPr>
              <w:t>0.657</w:t>
            </w:r>
          </w:p>
        </w:tc>
      </w:tr>
      <w:tr w:rsidR="00CF0399" w:rsidRPr="00C3084A" w14:paraId="4B9F1F14" w14:textId="77777777" w:rsidTr="00CF0399">
        <w:tc>
          <w:tcPr>
            <w:tcW w:w="3709" w:type="dxa"/>
            <w:tcBorders>
              <w:top w:val="nil"/>
              <w:left w:val="nil"/>
              <w:bottom w:val="single" w:sz="8" w:space="0" w:color="8EAADB"/>
              <w:right w:val="single" w:sz="8" w:space="0" w:color="8EAADB"/>
            </w:tcBorders>
            <w:tcMar>
              <w:top w:w="0" w:type="dxa"/>
              <w:left w:w="108" w:type="dxa"/>
              <w:bottom w:w="0" w:type="dxa"/>
              <w:right w:w="108" w:type="dxa"/>
            </w:tcMar>
            <w:hideMark/>
          </w:tcPr>
          <w:p w14:paraId="0D793EA2" w14:textId="77777777" w:rsidR="00CF0399" w:rsidRPr="00C3084A" w:rsidRDefault="00CF0399">
            <w:pPr>
              <w:pStyle w:val="Tabletext"/>
              <w:rPr>
                <w:rFonts w:asciiTheme="minorHAnsi" w:hAnsiTheme="minorHAnsi" w:cstheme="minorHAnsi"/>
                <w:bCs/>
                <w:i/>
                <w:iCs/>
                <w:color w:val="000000"/>
                <w:sz w:val="22"/>
                <w:szCs w:val="22"/>
                <w:lang w:eastAsia="en-US"/>
              </w:rPr>
            </w:pPr>
            <w:r w:rsidRPr="00C3084A">
              <w:rPr>
                <w:rFonts w:asciiTheme="minorHAnsi" w:hAnsiTheme="minorHAnsi" w:cstheme="minorHAnsi"/>
                <w:bCs/>
                <w:color w:val="000000"/>
                <w:sz w:val="22"/>
                <w:szCs w:val="22"/>
                <w:lang w:eastAsia="en-US"/>
              </w:rPr>
              <w:t>1 July 2030 and subsequent financial years</w:t>
            </w:r>
            <w:r w:rsidRPr="00C3084A">
              <w:rPr>
                <w:rStyle w:val="FootnoteReference"/>
                <w:rFonts w:asciiTheme="minorHAnsi" w:hAnsiTheme="minorHAnsi" w:cstheme="minorHAnsi"/>
                <w:bCs/>
                <w:color w:val="000000"/>
                <w:sz w:val="18"/>
                <w:szCs w:val="18"/>
                <w:lang w:eastAsia="en-US"/>
              </w:rPr>
              <w:footnoteReference w:customMarkFollows="1" w:id="5"/>
              <w:t>[2]</w:t>
            </w:r>
          </w:p>
        </w:tc>
        <w:tc>
          <w:tcPr>
            <w:tcW w:w="4536" w:type="dxa"/>
            <w:tcBorders>
              <w:top w:val="nil"/>
              <w:left w:val="nil"/>
              <w:bottom w:val="single" w:sz="8" w:space="0" w:color="8EAADB"/>
              <w:right w:val="nil"/>
            </w:tcBorders>
            <w:tcMar>
              <w:top w:w="0" w:type="dxa"/>
              <w:left w:w="108" w:type="dxa"/>
              <w:bottom w:w="0" w:type="dxa"/>
              <w:right w:w="108" w:type="dxa"/>
            </w:tcMar>
            <w:hideMark/>
          </w:tcPr>
          <w:p w14:paraId="7F647310" w14:textId="77777777" w:rsidR="00CF0399" w:rsidRPr="00C3084A" w:rsidRDefault="00CF0399">
            <w:pPr>
              <w:pStyle w:val="Tabletext"/>
              <w:jc w:val="center"/>
              <w:rPr>
                <w:rFonts w:asciiTheme="minorHAnsi" w:hAnsiTheme="minorHAnsi" w:cstheme="minorHAnsi"/>
                <w:color w:val="000000"/>
                <w:sz w:val="22"/>
                <w:szCs w:val="22"/>
                <w:lang w:eastAsia="en-US"/>
              </w:rPr>
            </w:pPr>
            <w:r w:rsidRPr="00C3084A">
              <w:rPr>
                <w:rFonts w:asciiTheme="minorHAnsi" w:hAnsiTheme="minorHAnsi" w:cstheme="minorHAnsi"/>
                <w:color w:val="000000"/>
                <w:sz w:val="22"/>
                <w:szCs w:val="22"/>
                <w:lang w:eastAsia="en-US"/>
              </w:rPr>
              <w:t>0.03285 less than the previous financial year but not less than zero</w:t>
            </w:r>
          </w:p>
        </w:tc>
      </w:tr>
    </w:tbl>
    <w:p w14:paraId="761F2613" w14:textId="34E6BB4E" w:rsidR="008561D3" w:rsidRPr="008561D3" w:rsidRDefault="008561D3" w:rsidP="008561D3">
      <w:pPr>
        <w:pStyle w:val="Heading2"/>
        <w:keepLines w:val="0"/>
        <w:spacing w:before="120" w:after="120" w:line="240" w:lineRule="auto"/>
        <w:ind w:left="720" w:hanging="720"/>
        <w:rPr>
          <w:rFonts w:ascii="Calibri" w:eastAsiaTheme="minorEastAsia" w:hAnsi="Calibri" w:cstheme="minorBidi"/>
          <w:b/>
          <w:bCs/>
          <w:color w:val="197C7D"/>
          <w:sz w:val="28"/>
          <w:szCs w:val="28"/>
          <w:lang w:eastAsia="ja-JP"/>
        </w:rPr>
      </w:pPr>
      <w:r w:rsidRPr="008561D3">
        <w:rPr>
          <w:rFonts w:ascii="Calibri" w:eastAsiaTheme="minorEastAsia" w:hAnsi="Calibri" w:cstheme="minorBidi"/>
          <w:b/>
          <w:bCs/>
          <w:color w:val="197C7D"/>
          <w:sz w:val="28"/>
          <w:szCs w:val="28"/>
          <w:lang w:eastAsia="ja-JP"/>
        </w:rPr>
        <w:t xml:space="preserve">Managing uncertainty </w:t>
      </w:r>
    </w:p>
    <w:p w14:paraId="2CF508FF" w14:textId="2506F4E0" w:rsidR="008561D3" w:rsidRDefault="003B4F94" w:rsidP="008561D3">
      <w:r>
        <w:t xml:space="preserve">The calculation of the decline rate is based </w:t>
      </w:r>
      <w:r w:rsidR="00F44166">
        <w:t>on</w:t>
      </w:r>
      <w:r>
        <w:t xml:space="preserve"> </w:t>
      </w:r>
      <w:r w:rsidR="00A461BE">
        <w:t>Australia’s</w:t>
      </w:r>
      <w:r w:rsidR="00F44166">
        <w:t xml:space="preserve"> </w:t>
      </w:r>
      <w:r>
        <w:t>emissions projections</w:t>
      </w:r>
      <w:r w:rsidR="00A461BE">
        <w:t xml:space="preserve"> 2022</w:t>
      </w:r>
      <w:r>
        <w:t>, which already anticipate a range of new entrants and likely changes in production. In addition to these, t</w:t>
      </w:r>
      <w:r w:rsidR="008561D3">
        <w:t>he decline rate builds in a</w:t>
      </w:r>
      <w:r>
        <w:t>n appropriate</w:t>
      </w:r>
      <w:r w:rsidR="008561D3">
        <w:t xml:space="preserve"> reserve to ensure the Safeguard target will be met. The reserve holds around 1</w:t>
      </w:r>
      <w:r w:rsidR="00F90F97">
        <w:t>7</w:t>
      </w:r>
      <w:r w:rsidR="008561D3">
        <w:t> million tonnes or 1.</w:t>
      </w:r>
      <w:r w:rsidR="00F90F97">
        <w:t>3</w:t>
      </w:r>
      <w:r w:rsidR="0017294A">
        <w:t>%</w:t>
      </w:r>
      <w:r w:rsidR="008561D3">
        <w:t xml:space="preserve"> of the Safeguard’s emissions budget.</w:t>
      </w:r>
      <w:r w:rsidR="0017294A">
        <w:t xml:space="preserve"> </w:t>
      </w:r>
      <w:r w:rsidR="00CA29BF">
        <w:t>Building in a</w:t>
      </w:r>
      <w:r w:rsidR="00CA29BF" w:rsidRPr="008561D3">
        <w:t xml:space="preserve"> </w:t>
      </w:r>
      <w:r w:rsidR="008561D3" w:rsidRPr="008561D3">
        <w:t>reserve</w:t>
      </w:r>
      <w:r w:rsidR="008561D3">
        <w:t xml:space="preserve"> </w:t>
      </w:r>
      <w:r w:rsidR="00CA29BF">
        <w:t>helps ensure the Safeguard’s emissions reduction targets are met by accounting</w:t>
      </w:r>
      <w:r w:rsidR="008561D3" w:rsidRPr="008561D3">
        <w:t xml:space="preserve"> for uncertainty in production and emissions from new and existing facilities, and </w:t>
      </w:r>
      <w:r w:rsidR="003504F5">
        <w:t>for the</w:t>
      </w:r>
      <w:r w:rsidR="00F44166" w:rsidRPr="008561D3">
        <w:t xml:space="preserve"> </w:t>
      </w:r>
      <w:r w:rsidR="008561D3" w:rsidRPr="008561D3">
        <w:t>emissions reductions delivered from trade exposed and baseline adjusted EITE facilities.</w:t>
      </w:r>
      <w:r w:rsidR="008561D3">
        <w:t xml:space="preserve"> This represents a conservative approach to baseline </w:t>
      </w:r>
      <w:proofErr w:type="gramStart"/>
      <w:r w:rsidR="008561D3">
        <w:t>decline</w:t>
      </w:r>
      <w:r w:rsidR="00A5020F">
        <w:t>, and</w:t>
      </w:r>
      <w:proofErr w:type="gramEnd"/>
      <w:r w:rsidR="00A5020F">
        <w:t xml:space="preserve"> means that i</w:t>
      </w:r>
      <w:r w:rsidR="008561D3">
        <w:t xml:space="preserve">f </w:t>
      </w:r>
      <w:r w:rsidR="00F90F97">
        <w:t xml:space="preserve">production </w:t>
      </w:r>
      <w:r w:rsidR="008561D3">
        <w:t>growth i</w:t>
      </w:r>
      <w:r w:rsidR="00F90F97">
        <w:t>s</w:t>
      </w:r>
      <w:r w:rsidR="008561D3">
        <w:t xml:space="preserve"> higher than expected, the target </w:t>
      </w:r>
      <w:r w:rsidR="00A5020F">
        <w:t xml:space="preserve">can </w:t>
      </w:r>
      <w:r w:rsidR="008561D3">
        <w:t xml:space="preserve">still be met. </w:t>
      </w:r>
    </w:p>
    <w:p w14:paraId="2094EFFB" w14:textId="1646C1C7" w:rsidR="00EA3009" w:rsidRDefault="00327319" w:rsidP="003E27F5">
      <w:pPr>
        <w:pStyle w:val="Heading2"/>
        <w:keepLines w:val="0"/>
        <w:spacing w:before="120" w:after="120" w:line="240" w:lineRule="auto"/>
        <w:ind w:left="720" w:hanging="720"/>
        <w:rPr>
          <w:rFonts w:ascii="Calibri" w:eastAsiaTheme="minorEastAsia" w:hAnsi="Calibri" w:cstheme="minorBidi"/>
          <w:b/>
          <w:bCs/>
          <w:color w:val="197C7D"/>
          <w:sz w:val="28"/>
          <w:szCs w:val="28"/>
          <w:lang w:eastAsia="ja-JP"/>
        </w:rPr>
      </w:pPr>
      <w:r>
        <w:rPr>
          <w:rFonts w:ascii="Calibri" w:eastAsiaTheme="minorEastAsia" w:hAnsi="Calibri" w:cstheme="minorBidi"/>
          <w:b/>
          <w:bCs/>
          <w:color w:val="197C7D"/>
          <w:sz w:val="28"/>
          <w:szCs w:val="28"/>
          <w:lang w:eastAsia="ja-JP"/>
        </w:rPr>
        <w:t>Post 2030 decline rates</w:t>
      </w:r>
    </w:p>
    <w:p w14:paraId="086613CF" w14:textId="362831A9" w:rsidR="00327319" w:rsidRDefault="00CD2E77" w:rsidP="00CD2E77">
      <w:r w:rsidRPr="00327319">
        <w:t>Post-2030 decline rates</w:t>
      </w:r>
      <w:r w:rsidRPr="009D7133">
        <w:rPr>
          <w:b/>
        </w:rPr>
        <w:t xml:space="preserve"> </w:t>
      </w:r>
      <w:r>
        <w:t xml:space="preserve">will be predictably set in </w:t>
      </w:r>
      <w:proofErr w:type="gramStart"/>
      <w:r>
        <w:t>5 year</w:t>
      </w:r>
      <w:proofErr w:type="gramEnd"/>
      <w:r>
        <w:t xml:space="preserve"> blocks, after updates to Australia’s NDC under the Paris Agreement. Decline rates for 2030</w:t>
      </w:r>
      <w:r w:rsidR="0017294A">
        <w:t>–</w:t>
      </w:r>
      <w:r>
        <w:t>31 to 2034</w:t>
      </w:r>
      <w:r w:rsidR="0017294A">
        <w:t>–</w:t>
      </w:r>
      <w:r>
        <w:t xml:space="preserve">35 will be set by 1 July 2027. This </w:t>
      </w:r>
      <w:r w:rsidRPr="001139F3">
        <w:lastRenderedPageBreak/>
        <w:t>periodic baseline setting process</w:t>
      </w:r>
      <w:r>
        <w:t xml:space="preserve"> will include consideration of progress to the current 2030 target and potential adjustment to baseline decline rates for the final </w:t>
      </w:r>
      <w:r w:rsidR="0017294A">
        <w:t>2</w:t>
      </w:r>
      <w:r>
        <w:t xml:space="preserve"> years of the target period. </w:t>
      </w:r>
    </w:p>
    <w:p w14:paraId="3964B081" w14:textId="63C7FCAF" w:rsidR="00CD2E77" w:rsidRDefault="00CD2E77" w:rsidP="00CD2E77">
      <w:pPr>
        <w:rPr>
          <w:rFonts w:ascii="Times New Roman" w:hAnsi="Times New Roman" w:cs="Times New Roman"/>
          <w:sz w:val="24"/>
          <w:szCs w:val="24"/>
          <w:lang w:eastAsia="en-AU"/>
        </w:rPr>
      </w:pPr>
      <w:r>
        <w:t>To maintain progress to net zero by 2050, indicative annual decline rates will be set for 2030</w:t>
      </w:r>
      <w:r w:rsidR="0017294A">
        <w:t>–</w:t>
      </w:r>
      <w:r>
        <w:t>31 to 2049</w:t>
      </w:r>
      <w:r w:rsidR="0017294A">
        <w:t>–</w:t>
      </w:r>
      <w:r>
        <w:t>50</w:t>
      </w:r>
      <w:r w:rsidR="00A5020F">
        <w:t>. T</w:t>
      </w:r>
      <w:r>
        <w:t>he actual rate will be set through the periodic baseline setting process.</w:t>
      </w:r>
      <w:r>
        <w:rPr>
          <w:rFonts w:ascii="Times New Roman" w:hAnsi="Times New Roman" w:cs="Times New Roman"/>
          <w:sz w:val="24"/>
          <w:szCs w:val="24"/>
          <w:lang w:eastAsia="en-AU"/>
        </w:rPr>
        <w:t xml:space="preserve"> </w:t>
      </w:r>
    </w:p>
    <w:p w14:paraId="7C89D768" w14:textId="77777777" w:rsidR="00DE3FAA" w:rsidRPr="00DE3FAA" w:rsidRDefault="00DE3FAA" w:rsidP="00D36C98">
      <w:pPr>
        <w:pStyle w:val="Heading2"/>
        <w:keepLines w:val="0"/>
        <w:spacing w:before="120" w:after="120" w:line="240" w:lineRule="auto"/>
        <w:rPr>
          <w:rFonts w:ascii="Calibri" w:eastAsiaTheme="minorEastAsia" w:hAnsi="Calibri" w:cstheme="minorBidi"/>
          <w:b/>
          <w:bCs/>
          <w:color w:val="197C7D"/>
          <w:sz w:val="28"/>
          <w:szCs w:val="28"/>
          <w:lang w:eastAsia="ja-JP"/>
        </w:rPr>
      </w:pPr>
      <w:r w:rsidRPr="00DE3FAA">
        <w:rPr>
          <w:rFonts w:ascii="Calibri" w:eastAsiaTheme="minorEastAsia" w:hAnsi="Calibri" w:cstheme="minorBidi"/>
          <w:b/>
          <w:bCs/>
          <w:color w:val="197C7D"/>
          <w:sz w:val="28"/>
          <w:szCs w:val="28"/>
          <w:lang w:eastAsia="ja-JP"/>
        </w:rPr>
        <w:t>More information</w:t>
      </w:r>
    </w:p>
    <w:p w14:paraId="48C0EAF5" w14:textId="7AC97D6E" w:rsidR="00DE3FAA" w:rsidRDefault="00DE3FAA" w:rsidP="00626443">
      <w:r>
        <w:rPr>
          <w:lang w:eastAsia="ja-JP"/>
        </w:rPr>
        <w:t xml:space="preserve">Learn more </w:t>
      </w:r>
      <w:r w:rsidRPr="00DE6EB3">
        <w:rPr>
          <w:lang w:eastAsia="ja-JP"/>
        </w:rPr>
        <w:t xml:space="preserve">about </w:t>
      </w:r>
      <w:r w:rsidRPr="00DE6EB3">
        <w:t xml:space="preserve">the Safeguard Mechanism reforms at </w:t>
      </w:r>
      <w:hyperlink r:id="rId12" w:history="1">
        <w:r w:rsidR="00803F9A" w:rsidRPr="00434794">
          <w:rPr>
            <w:rStyle w:val="Hyperlink"/>
            <w:b/>
            <w:bCs/>
          </w:rPr>
          <w:t>https://consult.industry.gov.au/safeguard-mechanism-reform-consultation-paper</w:t>
        </w:r>
      </w:hyperlink>
      <w:r w:rsidR="00434794">
        <w:rPr>
          <w:rStyle w:val="Hyperlink"/>
          <w:b/>
          <w:bCs/>
        </w:rPr>
        <w:t>.</w:t>
      </w:r>
    </w:p>
    <w:sectPr w:rsidR="00DE3FAA" w:rsidSect="00D36C98">
      <w:headerReference w:type="default" r:id="rId13"/>
      <w:footerReference w:type="default" r:id="rId14"/>
      <w:pgSz w:w="11906" w:h="16838"/>
      <w:pgMar w:top="26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9669" w14:textId="77777777" w:rsidR="00A066A2" w:rsidRDefault="00A066A2" w:rsidP="004D0ADE">
      <w:pPr>
        <w:spacing w:after="0" w:line="240" w:lineRule="auto"/>
      </w:pPr>
      <w:r>
        <w:separator/>
      </w:r>
    </w:p>
  </w:endnote>
  <w:endnote w:type="continuationSeparator" w:id="0">
    <w:p w14:paraId="72D1C4CF" w14:textId="77777777" w:rsidR="00A066A2" w:rsidRDefault="00A066A2" w:rsidP="004D0ADE">
      <w:pPr>
        <w:spacing w:after="0" w:line="240" w:lineRule="auto"/>
      </w:pPr>
      <w:r>
        <w:continuationSeparator/>
      </w:r>
    </w:p>
  </w:endnote>
  <w:endnote w:type="continuationNotice" w:id="1">
    <w:p w14:paraId="40A1345F" w14:textId="77777777" w:rsidR="00E439CF" w:rsidRDefault="00E439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1FE8C761" w14:textId="77777777" w:rsidR="005444B2" w:rsidRPr="00434794" w:rsidRDefault="005444B2" w:rsidP="00434794">
        <w:pPr>
          <w:pStyle w:val="Footer"/>
          <w:jc w:val="center"/>
          <w:rPr>
            <w:sz w:val="20"/>
            <w:szCs w:val="20"/>
          </w:rPr>
        </w:pPr>
        <w:r w:rsidRPr="00434794">
          <w:rPr>
            <w:sz w:val="20"/>
            <w:szCs w:val="20"/>
          </w:rPr>
          <w:t>Department of Climate Change, Energy, the Environment and Water</w:t>
        </w:r>
      </w:p>
      <w:p w14:paraId="40359F77" w14:textId="77777777" w:rsidR="005444B2" w:rsidRDefault="005444B2" w:rsidP="005444B2">
        <w:pPr>
          <w:pStyle w:val="Footer"/>
          <w:tabs>
            <w:tab w:val="clear" w:pos="4513"/>
            <w:tab w:val="center" w:pos="4536"/>
          </w:tabs>
          <w:spacing w:after="120"/>
          <w:jc w:val="center"/>
          <w:rPr>
            <w:rFonts w:ascii="Calibri" w:hAnsi="Calibri" w:cs="Calibri"/>
            <w:b/>
            <w:bCs/>
            <w:noProof/>
          </w:rPr>
        </w:pPr>
        <w:r w:rsidRPr="00434794">
          <w:rPr>
            <w:sz w:val="20"/>
            <w:szCs w:val="20"/>
          </w:rPr>
          <w:fldChar w:fldCharType="begin"/>
        </w:r>
        <w:r w:rsidRPr="00434794">
          <w:rPr>
            <w:sz w:val="20"/>
            <w:szCs w:val="20"/>
          </w:rPr>
          <w:instrText xml:space="preserve"> PAGE   \* MERGEFORMAT </w:instrText>
        </w:r>
        <w:r w:rsidRPr="00434794">
          <w:rPr>
            <w:sz w:val="20"/>
            <w:szCs w:val="20"/>
          </w:rPr>
          <w:fldChar w:fldCharType="separate"/>
        </w:r>
        <w:r w:rsidR="00F44166">
          <w:rPr>
            <w:noProof/>
            <w:sz w:val="20"/>
            <w:szCs w:val="20"/>
          </w:rPr>
          <w:t>1</w:t>
        </w:r>
        <w:r w:rsidRPr="00434794">
          <w:rPr>
            <w:noProof/>
            <w:sz w:val="20"/>
            <w:szCs w:val="20"/>
          </w:rPr>
          <w:fldChar w:fldCharType="end"/>
        </w:r>
      </w:p>
    </w:sdtContent>
  </w:sdt>
  <w:p w14:paraId="7B09D157" w14:textId="77777777" w:rsidR="005444B2" w:rsidRDefault="00544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939B6" w14:textId="77777777" w:rsidR="00A066A2" w:rsidRDefault="00A066A2" w:rsidP="004D0ADE">
      <w:pPr>
        <w:spacing w:after="0" w:line="240" w:lineRule="auto"/>
      </w:pPr>
      <w:r>
        <w:separator/>
      </w:r>
    </w:p>
  </w:footnote>
  <w:footnote w:type="continuationSeparator" w:id="0">
    <w:p w14:paraId="4BE0AEE0" w14:textId="77777777" w:rsidR="00A066A2" w:rsidRDefault="00A066A2" w:rsidP="004D0ADE">
      <w:pPr>
        <w:spacing w:after="0" w:line="240" w:lineRule="auto"/>
      </w:pPr>
      <w:r>
        <w:continuationSeparator/>
      </w:r>
    </w:p>
  </w:footnote>
  <w:footnote w:type="continuationNotice" w:id="1">
    <w:p w14:paraId="23A178F1" w14:textId="77777777" w:rsidR="00E439CF" w:rsidRDefault="00E439CF">
      <w:pPr>
        <w:spacing w:after="0" w:line="240" w:lineRule="auto"/>
      </w:pPr>
    </w:p>
  </w:footnote>
  <w:footnote w:id="2">
    <w:p w14:paraId="321930A4" w14:textId="7265A16C" w:rsidR="00687C76" w:rsidRDefault="00687C76" w:rsidP="00687C76">
      <w:pPr>
        <w:pStyle w:val="FootnoteText"/>
      </w:pPr>
      <w:r>
        <w:rPr>
          <w:rStyle w:val="FootnoteReference"/>
        </w:rPr>
        <w:footnoteRef/>
      </w:r>
      <w:r>
        <w:t xml:space="preserve"> The 100 Mt is based on </w:t>
      </w:r>
      <w:r w:rsidRPr="00417C32">
        <w:t>28</w:t>
      </w:r>
      <w:r>
        <w:t>.14</w:t>
      </w:r>
      <w:r w:rsidR="00626443">
        <w:t>%</w:t>
      </w:r>
      <w:r w:rsidRPr="00417C32">
        <w:t xml:space="preserve"> </w:t>
      </w:r>
      <w:r>
        <w:t xml:space="preserve">of the national 2030 target of 354 Mt and the </w:t>
      </w:r>
      <w:r w:rsidRPr="00A867EB">
        <w:t>1,23</w:t>
      </w:r>
      <w:r>
        <w:t>3</w:t>
      </w:r>
      <w:r w:rsidRPr="00A867EB">
        <w:t> </w:t>
      </w:r>
      <w:r>
        <w:t xml:space="preserve">Mt is based on </w:t>
      </w:r>
      <w:r w:rsidRPr="00A867EB">
        <w:t>28.</w:t>
      </w:r>
      <w:r>
        <w:t>1</w:t>
      </w:r>
      <w:r w:rsidRPr="00A867EB">
        <w:t>4</w:t>
      </w:r>
      <w:r w:rsidR="0017294A">
        <w:t>%</w:t>
      </w:r>
      <w:r w:rsidRPr="00A867EB">
        <w:t xml:space="preserve"> of </w:t>
      </w:r>
      <w:r>
        <w:t xml:space="preserve">the national emissions budget of </w:t>
      </w:r>
      <w:r w:rsidRPr="00A867EB">
        <w:t>4,381</w:t>
      </w:r>
      <w:r>
        <w:t xml:space="preserve"> Mt</w:t>
      </w:r>
      <w:r w:rsidRPr="00A867EB">
        <w:t>.</w:t>
      </w:r>
      <w:r>
        <w:t xml:space="preserve"> From the estimated starting point of Safeguard emissions in 2023</w:t>
      </w:r>
      <w:r w:rsidR="0017294A">
        <w:noBreakHyphen/>
      </w:r>
      <w:r>
        <w:t>24, the baseline trajectory needed to satisfy both the 1,233 Mt emissions budget and 100 Mt point target will see net emissions fall to around 95 Mt in 2030.</w:t>
      </w:r>
    </w:p>
  </w:footnote>
  <w:footnote w:id="3">
    <w:p w14:paraId="0B6BD70D" w14:textId="77777777" w:rsidR="00687C76" w:rsidRDefault="00687C76" w:rsidP="00687C76">
      <w:pPr>
        <w:pStyle w:val="FootnoteText"/>
      </w:pPr>
      <w:r>
        <w:rPr>
          <w:rStyle w:val="FootnoteReference"/>
        </w:rPr>
        <w:footnoteRef/>
      </w:r>
      <w:r>
        <w:t xml:space="preserve"> Based on projected emissions from existing Safeguard facilities and expectations around new facilities in the absence of the Safeguard reforms, such that emissions from new facilities are not constrained by a best practice emissions intensity level. The resulting difference between the projected emissions and baseline trajectory is the estimated level of abatement from the reforms. </w:t>
      </w:r>
    </w:p>
  </w:footnote>
  <w:footnote w:id="4">
    <w:p w14:paraId="12493762" w14:textId="0ACCEAE3" w:rsidR="0030650D" w:rsidRDefault="0030650D">
      <w:pPr>
        <w:pStyle w:val="FootnoteText"/>
      </w:pPr>
      <w:r>
        <w:rPr>
          <w:rStyle w:val="FootnoteReference"/>
        </w:rPr>
        <w:footnoteRef/>
      </w:r>
      <w:r>
        <w:t xml:space="preserve"> </w:t>
      </w:r>
      <w:r w:rsidRPr="00434794">
        <w:t>National Greenhouse and Energy Reporting (Safeguard Mechanism) Amendment (Reforms) Rules 2023</w:t>
      </w:r>
    </w:p>
  </w:footnote>
  <w:footnote w:id="5">
    <w:p w14:paraId="1D548089" w14:textId="000C2DD2" w:rsidR="00CF0399" w:rsidRDefault="00CF0399" w:rsidP="00CF0399">
      <w:pPr>
        <w:pStyle w:val="FootnoteText"/>
      </w:pPr>
      <w:r>
        <w:rPr>
          <w:rStyle w:val="FootnoteReference"/>
          <w:sz w:val="18"/>
          <w:szCs w:val="18"/>
        </w:rPr>
        <w:t>[2]</w:t>
      </w:r>
      <w:r>
        <w:t xml:space="preserve"> As outlined in the </w:t>
      </w:r>
      <w:r w:rsidR="0046662A">
        <w:t>January 2023</w:t>
      </w:r>
      <w:r>
        <w:t xml:space="preserve"> Position Paper, to maintain progress to net zero by 2050, indicative annual decline rates will be set for 2030</w:t>
      </w:r>
      <w:r w:rsidR="0017294A">
        <w:t>–</w:t>
      </w:r>
      <w:r>
        <w:t>31 to 2049</w:t>
      </w:r>
      <w:r w:rsidR="0017294A">
        <w:t>–</w:t>
      </w:r>
      <w:r>
        <w:t>50, noting that the actual rate will be set through the periodic baseline setting process. Decline rates for 2030</w:t>
      </w:r>
      <w:r w:rsidR="0017294A">
        <w:t>–</w:t>
      </w:r>
      <w:r>
        <w:t>31 to 2034</w:t>
      </w:r>
      <w:r w:rsidR="0017294A">
        <w:t>–</w:t>
      </w:r>
      <w:r>
        <w:t>35 will be set by 1 July 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CEB4" w14:textId="0A895094" w:rsidR="00A066A2" w:rsidRPr="00BD791E" w:rsidRDefault="00A066A2" w:rsidP="00BD791E">
    <w:pPr>
      <w:pStyle w:val="Header"/>
      <w:jc w:val="center"/>
      <w:rPr>
        <w:b/>
        <w:color w:val="FF0000"/>
      </w:rPr>
    </w:pPr>
    <w:r>
      <w:rPr>
        <w:noProof/>
        <w:lang w:eastAsia="en-AU"/>
      </w:rPr>
      <w:drawing>
        <wp:anchor distT="0" distB="0" distL="114300" distR="114300" simplePos="0" relativeHeight="251658240" behindDoc="0" locked="0" layoutInCell="1" allowOverlap="1" wp14:anchorId="6DA533A3" wp14:editId="5112BF29">
          <wp:simplePos x="0" y="0"/>
          <wp:positionH relativeFrom="page">
            <wp:align>left</wp:align>
          </wp:positionH>
          <wp:positionV relativeFrom="page">
            <wp:align>top</wp:align>
          </wp:positionV>
          <wp:extent cx="7559675" cy="1633855"/>
          <wp:effectExtent l="0" t="0" r="3175" b="4445"/>
          <wp:wrapNone/>
          <wp:docPr id="2" name="Picture 2" descr="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Climate Change, Energy, the Environment and Water"/>
                  <pic:cNvPicPr/>
                </pic:nvPicPr>
                <pic:blipFill>
                  <a:blip r:embed="rId1">
                    <a:extLst>
                      <a:ext uri="{28A0092B-C50C-407E-A947-70E740481C1C}">
                        <a14:useLocalDpi xmlns:a14="http://schemas.microsoft.com/office/drawing/2010/main" val="0"/>
                      </a:ext>
                    </a:extLst>
                  </a:blip>
                  <a:stretch>
                    <a:fillRect/>
                  </a:stretch>
                </pic:blipFill>
                <pic:spPr>
                  <a:xfrm>
                    <a:off x="0" y="0"/>
                    <a:ext cx="7559675" cy="1633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FCE"/>
    <w:multiLevelType w:val="hybridMultilevel"/>
    <w:tmpl w:val="AA760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B44397"/>
    <w:multiLevelType w:val="hybridMultilevel"/>
    <w:tmpl w:val="76ECAF6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132238F2"/>
    <w:multiLevelType w:val="hybridMultilevel"/>
    <w:tmpl w:val="CB4A4BAE"/>
    <w:lvl w:ilvl="0" w:tplc="0C090001">
      <w:start w:val="1"/>
      <w:numFmt w:val="bullet"/>
      <w:lvlText w:val=""/>
      <w:lvlJc w:val="left"/>
      <w:pPr>
        <w:ind w:left="1260" w:hanging="360"/>
      </w:pPr>
      <w:rPr>
        <w:rFonts w:ascii="Symbol" w:hAnsi="Symbol" w:hint="default"/>
      </w:rPr>
    </w:lvl>
    <w:lvl w:ilvl="1" w:tplc="0C090003">
      <w:start w:val="1"/>
      <w:numFmt w:val="bullet"/>
      <w:lvlText w:val="o"/>
      <w:lvlJc w:val="left"/>
      <w:pPr>
        <w:ind w:left="1980" w:hanging="360"/>
      </w:pPr>
      <w:rPr>
        <w:rFonts w:ascii="Courier New" w:hAnsi="Courier New" w:cs="Courier New" w:hint="default"/>
      </w:rPr>
    </w:lvl>
    <w:lvl w:ilvl="2" w:tplc="0C090005">
      <w:start w:val="1"/>
      <w:numFmt w:val="bullet"/>
      <w:lvlText w:val=""/>
      <w:lvlJc w:val="left"/>
      <w:pPr>
        <w:ind w:left="2700" w:hanging="360"/>
      </w:pPr>
      <w:rPr>
        <w:rFonts w:ascii="Wingdings" w:hAnsi="Wingdings" w:hint="default"/>
      </w:rPr>
    </w:lvl>
    <w:lvl w:ilvl="3" w:tplc="0C090001">
      <w:start w:val="1"/>
      <w:numFmt w:val="bullet"/>
      <w:lvlText w:val=""/>
      <w:lvlJc w:val="left"/>
      <w:pPr>
        <w:ind w:left="3420" w:hanging="360"/>
      </w:pPr>
      <w:rPr>
        <w:rFonts w:ascii="Symbol" w:hAnsi="Symbol" w:hint="default"/>
      </w:rPr>
    </w:lvl>
    <w:lvl w:ilvl="4" w:tplc="0C090003">
      <w:start w:val="1"/>
      <w:numFmt w:val="bullet"/>
      <w:lvlText w:val="o"/>
      <w:lvlJc w:val="left"/>
      <w:pPr>
        <w:ind w:left="4140" w:hanging="360"/>
      </w:pPr>
      <w:rPr>
        <w:rFonts w:ascii="Courier New" w:hAnsi="Courier New" w:cs="Courier New" w:hint="default"/>
      </w:rPr>
    </w:lvl>
    <w:lvl w:ilvl="5" w:tplc="0C090005">
      <w:start w:val="1"/>
      <w:numFmt w:val="bullet"/>
      <w:lvlText w:val=""/>
      <w:lvlJc w:val="left"/>
      <w:pPr>
        <w:ind w:left="4860" w:hanging="360"/>
      </w:pPr>
      <w:rPr>
        <w:rFonts w:ascii="Wingdings" w:hAnsi="Wingdings" w:hint="default"/>
      </w:rPr>
    </w:lvl>
    <w:lvl w:ilvl="6" w:tplc="0C090001">
      <w:start w:val="1"/>
      <w:numFmt w:val="bullet"/>
      <w:lvlText w:val=""/>
      <w:lvlJc w:val="left"/>
      <w:pPr>
        <w:ind w:left="5580" w:hanging="360"/>
      </w:pPr>
      <w:rPr>
        <w:rFonts w:ascii="Symbol" w:hAnsi="Symbol" w:hint="default"/>
      </w:rPr>
    </w:lvl>
    <w:lvl w:ilvl="7" w:tplc="0C090003">
      <w:start w:val="1"/>
      <w:numFmt w:val="bullet"/>
      <w:lvlText w:val="o"/>
      <w:lvlJc w:val="left"/>
      <w:pPr>
        <w:ind w:left="6300" w:hanging="360"/>
      </w:pPr>
      <w:rPr>
        <w:rFonts w:ascii="Courier New" w:hAnsi="Courier New" w:cs="Courier New" w:hint="default"/>
      </w:rPr>
    </w:lvl>
    <w:lvl w:ilvl="8" w:tplc="0C090005">
      <w:start w:val="1"/>
      <w:numFmt w:val="bullet"/>
      <w:lvlText w:val=""/>
      <w:lvlJc w:val="left"/>
      <w:pPr>
        <w:ind w:left="7020" w:hanging="360"/>
      </w:pPr>
      <w:rPr>
        <w:rFonts w:ascii="Wingdings" w:hAnsi="Wingdings" w:hint="default"/>
      </w:rPr>
    </w:lvl>
  </w:abstractNum>
  <w:abstractNum w:abstractNumId="3" w15:restartNumberingAfterBreak="0">
    <w:nsid w:val="34C10F19"/>
    <w:multiLevelType w:val="hybridMultilevel"/>
    <w:tmpl w:val="CCFC9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4F0E7E"/>
    <w:multiLevelType w:val="hybridMultilevel"/>
    <w:tmpl w:val="153E2B7E"/>
    <w:lvl w:ilvl="0" w:tplc="0C090001">
      <w:start w:val="1"/>
      <w:numFmt w:val="bullet"/>
      <w:lvlText w:val=""/>
      <w:lvlJc w:val="left"/>
      <w:pPr>
        <w:ind w:left="496" w:hanging="360"/>
      </w:pPr>
      <w:rPr>
        <w:rFonts w:ascii="Symbol" w:hAnsi="Symbol" w:hint="default"/>
        <w:b/>
      </w:rPr>
    </w:lvl>
    <w:lvl w:ilvl="1" w:tplc="0C090003" w:tentative="1">
      <w:start w:val="1"/>
      <w:numFmt w:val="bullet"/>
      <w:lvlText w:val="o"/>
      <w:lvlJc w:val="left"/>
      <w:pPr>
        <w:ind w:left="1216" w:hanging="360"/>
      </w:pPr>
      <w:rPr>
        <w:rFonts w:ascii="Courier New" w:hAnsi="Courier New" w:cs="Courier New" w:hint="default"/>
      </w:rPr>
    </w:lvl>
    <w:lvl w:ilvl="2" w:tplc="0C090005" w:tentative="1">
      <w:start w:val="1"/>
      <w:numFmt w:val="bullet"/>
      <w:lvlText w:val=""/>
      <w:lvlJc w:val="left"/>
      <w:pPr>
        <w:ind w:left="1936" w:hanging="360"/>
      </w:pPr>
      <w:rPr>
        <w:rFonts w:ascii="Wingdings" w:hAnsi="Wingdings" w:hint="default"/>
      </w:rPr>
    </w:lvl>
    <w:lvl w:ilvl="3" w:tplc="0C090001" w:tentative="1">
      <w:start w:val="1"/>
      <w:numFmt w:val="bullet"/>
      <w:lvlText w:val=""/>
      <w:lvlJc w:val="left"/>
      <w:pPr>
        <w:ind w:left="2656" w:hanging="360"/>
      </w:pPr>
      <w:rPr>
        <w:rFonts w:ascii="Symbol" w:hAnsi="Symbol" w:hint="default"/>
      </w:rPr>
    </w:lvl>
    <w:lvl w:ilvl="4" w:tplc="0C090003" w:tentative="1">
      <w:start w:val="1"/>
      <w:numFmt w:val="bullet"/>
      <w:lvlText w:val="o"/>
      <w:lvlJc w:val="left"/>
      <w:pPr>
        <w:ind w:left="3376" w:hanging="360"/>
      </w:pPr>
      <w:rPr>
        <w:rFonts w:ascii="Courier New" w:hAnsi="Courier New" w:cs="Courier New" w:hint="default"/>
      </w:rPr>
    </w:lvl>
    <w:lvl w:ilvl="5" w:tplc="0C090005" w:tentative="1">
      <w:start w:val="1"/>
      <w:numFmt w:val="bullet"/>
      <w:lvlText w:val=""/>
      <w:lvlJc w:val="left"/>
      <w:pPr>
        <w:ind w:left="4096" w:hanging="360"/>
      </w:pPr>
      <w:rPr>
        <w:rFonts w:ascii="Wingdings" w:hAnsi="Wingdings" w:hint="default"/>
      </w:rPr>
    </w:lvl>
    <w:lvl w:ilvl="6" w:tplc="0C090001" w:tentative="1">
      <w:start w:val="1"/>
      <w:numFmt w:val="bullet"/>
      <w:lvlText w:val=""/>
      <w:lvlJc w:val="left"/>
      <w:pPr>
        <w:ind w:left="4816" w:hanging="360"/>
      </w:pPr>
      <w:rPr>
        <w:rFonts w:ascii="Symbol" w:hAnsi="Symbol" w:hint="default"/>
      </w:rPr>
    </w:lvl>
    <w:lvl w:ilvl="7" w:tplc="0C090003" w:tentative="1">
      <w:start w:val="1"/>
      <w:numFmt w:val="bullet"/>
      <w:lvlText w:val="o"/>
      <w:lvlJc w:val="left"/>
      <w:pPr>
        <w:ind w:left="5536" w:hanging="360"/>
      </w:pPr>
      <w:rPr>
        <w:rFonts w:ascii="Courier New" w:hAnsi="Courier New" w:cs="Courier New" w:hint="default"/>
      </w:rPr>
    </w:lvl>
    <w:lvl w:ilvl="8" w:tplc="0C090005" w:tentative="1">
      <w:start w:val="1"/>
      <w:numFmt w:val="bullet"/>
      <w:lvlText w:val=""/>
      <w:lvlJc w:val="left"/>
      <w:pPr>
        <w:ind w:left="6256" w:hanging="360"/>
      </w:pPr>
      <w:rPr>
        <w:rFonts w:ascii="Wingdings" w:hAnsi="Wingdings" w:hint="default"/>
      </w:rPr>
    </w:lvl>
  </w:abstractNum>
  <w:abstractNum w:abstractNumId="5" w15:restartNumberingAfterBreak="0">
    <w:nsid w:val="3FD9315E"/>
    <w:multiLevelType w:val="hybridMultilevel"/>
    <w:tmpl w:val="C6CC1D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4B7A4D95"/>
    <w:multiLevelType w:val="hybridMultilevel"/>
    <w:tmpl w:val="3DD229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B60A01"/>
    <w:multiLevelType w:val="hybridMultilevel"/>
    <w:tmpl w:val="11E039FE"/>
    <w:lvl w:ilvl="0" w:tplc="0C090001">
      <w:start w:val="1"/>
      <w:numFmt w:val="bullet"/>
      <w:lvlText w:val=""/>
      <w:lvlJc w:val="left"/>
      <w:pPr>
        <w:ind w:left="1260" w:hanging="360"/>
      </w:pPr>
      <w:rPr>
        <w:rFonts w:ascii="Symbol" w:hAnsi="Symbol" w:hint="default"/>
      </w:rPr>
    </w:lvl>
    <w:lvl w:ilvl="1" w:tplc="0C090003">
      <w:start w:val="1"/>
      <w:numFmt w:val="bullet"/>
      <w:lvlText w:val="o"/>
      <w:lvlJc w:val="left"/>
      <w:pPr>
        <w:ind w:left="1980" w:hanging="360"/>
      </w:pPr>
      <w:rPr>
        <w:rFonts w:ascii="Courier New" w:hAnsi="Courier New" w:cs="Courier New" w:hint="default"/>
      </w:rPr>
    </w:lvl>
    <w:lvl w:ilvl="2" w:tplc="0C090005">
      <w:start w:val="1"/>
      <w:numFmt w:val="bullet"/>
      <w:lvlText w:val=""/>
      <w:lvlJc w:val="left"/>
      <w:pPr>
        <w:ind w:left="2700" w:hanging="360"/>
      </w:pPr>
      <w:rPr>
        <w:rFonts w:ascii="Wingdings" w:hAnsi="Wingdings" w:hint="default"/>
      </w:rPr>
    </w:lvl>
    <w:lvl w:ilvl="3" w:tplc="0C090001">
      <w:start w:val="1"/>
      <w:numFmt w:val="bullet"/>
      <w:lvlText w:val=""/>
      <w:lvlJc w:val="left"/>
      <w:pPr>
        <w:ind w:left="3420" w:hanging="360"/>
      </w:pPr>
      <w:rPr>
        <w:rFonts w:ascii="Symbol" w:hAnsi="Symbol" w:hint="default"/>
      </w:rPr>
    </w:lvl>
    <w:lvl w:ilvl="4" w:tplc="0C090003">
      <w:start w:val="1"/>
      <w:numFmt w:val="bullet"/>
      <w:lvlText w:val="o"/>
      <w:lvlJc w:val="left"/>
      <w:pPr>
        <w:ind w:left="4140" w:hanging="360"/>
      </w:pPr>
      <w:rPr>
        <w:rFonts w:ascii="Courier New" w:hAnsi="Courier New" w:cs="Courier New" w:hint="default"/>
      </w:rPr>
    </w:lvl>
    <w:lvl w:ilvl="5" w:tplc="0C090005">
      <w:start w:val="1"/>
      <w:numFmt w:val="bullet"/>
      <w:lvlText w:val=""/>
      <w:lvlJc w:val="left"/>
      <w:pPr>
        <w:ind w:left="4860" w:hanging="360"/>
      </w:pPr>
      <w:rPr>
        <w:rFonts w:ascii="Wingdings" w:hAnsi="Wingdings" w:hint="default"/>
      </w:rPr>
    </w:lvl>
    <w:lvl w:ilvl="6" w:tplc="0C090001">
      <w:start w:val="1"/>
      <w:numFmt w:val="bullet"/>
      <w:lvlText w:val=""/>
      <w:lvlJc w:val="left"/>
      <w:pPr>
        <w:ind w:left="5580" w:hanging="360"/>
      </w:pPr>
      <w:rPr>
        <w:rFonts w:ascii="Symbol" w:hAnsi="Symbol" w:hint="default"/>
      </w:rPr>
    </w:lvl>
    <w:lvl w:ilvl="7" w:tplc="0C090003">
      <w:start w:val="1"/>
      <w:numFmt w:val="bullet"/>
      <w:lvlText w:val="o"/>
      <w:lvlJc w:val="left"/>
      <w:pPr>
        <w:ind w:left="6300" w:hanging="360"/>
      </w:pPr>
      <w:rPr>
        <w:rFonts w:ascii="Courier New" w:hAnsi="Courier New" w:cs="Courier New" w:hint="default"/>
      </w:rPr>
    </w:lvl>
    <w:lvl w:ilvl="8" w:tplc="0C090005">
      <w:start w:val="1"/>
      <w:numFmt w:val="bullet"/>
      <w:lvlText w:val=""/>
      <w:lvlJc w:val="left"/>
      <w:pPr>
        <w:ind w:left="7020" w:hanging="360"/>
      </w:pPr>
      <w:rPr>
        <w:rFonts w:ascii="Wingdings" w:hAnsi="Wingdings" w:hint="default"/>
      </w:rPr>
    </w:lvl>
  </w:abstractNum>
  <w:abstractNum w:abstractNumId="8" w15:restartNumberingAfterBreak="0">
    <w:nsid w:val="60265A5E"/>
    <w:multiLevelType w:val="hybridMultilevel"/>
    <w:tmpl w:val="39DE6B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BC4074"/>
    <w:multiLevelType w:val="hybridMultilevel"/>
    <w:tmpl w:val="D79C0B42"/>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4"/>
  </w:num>
  <w:num w:numId="5">
    <w:abstractNumId w:val="5"/>
  </w:num>
  <w:num w:numId="6">
    <w:abstractNumId w:val="8"/>
  </w:num>
  <w:num w:numId="7">
    <w:abstractNumId w:val="1"/>
  </w:num>
  <w:num w:numId="8">
    <w:abstractNumId w:val="6"/>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FDC"/>
    <w:rsid w:val="00003ACB"/>
    <w:rsid w:val="00026246"/>
    <w:rsid w:val="00027545"/>
    <w:rsid w:val="00046010"/>
    <w:rsid w:val="0004634D"/>
    <w:rsid w:val="000545F3"/>
    <w:rsid w:val="00067F73"/>
    <w:rsid w:val="000907F8"/>
    <w:rsid w:val="00091375"/>
    <w:rsid w:val="00092D90"/>
    <w:rsid w:val="000C099E"/>
    <w:rsid w:val="000D0BF4"/>
    <w:rsid w:val="000F0D3F"/>
    <w:rsid w:val="000F1D4E"/>
    <w:rsid w:val="000F258F"/>
    <w:rsid w:val="000F49C9"/>
    <w:rsid w:val="001145DE"/>
    <w:rsid w:val="00133736"/>
    <w:rsid w:val="0014256D"/>
    <w:rsid w:val="001603D6"/>
    <w:rsid w:val="0016289E"/>
    <w:rsid w:val="0017294A"/>
    <w:rsid w:val="00173E67"/>
    <w:rsid w:val="00177CF9"/>
    <w:rsid w:val="00184C7A"/>
    <w:rsid w:val="001B4DE5"/>
    <w:rsid w:val="001D18BF"/>
    <w:rsid w:val="001D51F8"/>
    <w:rsid w:val="001E022E"/>
    <w:rsid w:val="001E3B84"/>
    <w:rsid w:val="001E6C6D"/>
    <w:rsid w:val="002117A7"/>
    <w:rsid w:val="00240BEE"/>
    <w:rsid w:val="00244782"/>
    <w:rsid w:val="00245D36"/>
    <w:rsid w:val="002937B9"/>
    <w:rsid w:val="002E2F93"/>
    <w:rsid w:val="002E7354"/>
    <w:rsid w:val="0030650D"/>
    <w:rsid w:val="00315853"/>
    <w:rsid w:val="00327319"/>
    <w:rsid w:val="003504F5"/>
    <w:rsid w:val="003521BF"/>
    <w:rsid w:val="003557A1"/>
    <w:rsid w:val="0037643B"/>
    <w:rsid w:val="00394FB9"/>
    <w:rsid w:val="003A100F"/>
    <w:rsid w:val="003A5D62"/>
    <w:rsid w:val="003B05A1"/>
    <w:rsid w:val="003B2984"/>
    <w:rsid w:val="003B4F94"/>
    <w:rsid w:val="003B50F4"/>
    <w:rsid w:val="003D3296"/>
    <w:rsid w:val="003D63BA"/>
    <w:rsid w:val="003D7627"/>
    <w:rsid w:val="003E27F5"/>
    <w:rsid w:val="004103F1"/>
    <w:rsid w:val="00411DD9"/>
    <w:rsid w:val="00434794"/>
    <w:rsid w:val="004549C9"/>
    <w:rsid w:val="00464467"/>
    <w:rsid w:val="004646CB"/>
    <w:rsid w:val="0046662A"/>
    <w:rsid w:val="00485D8D"/>
    <w:rsid w:val="00492CF6"/>
    <w:rsid w:val="00493728"/>
    <w:rsid w:val="004951F5"/>
    <w:rsid w:val="004D0ADE"/>
    <w:rsid w:val="004D2177"/>
    <w:rsid w:val="004D582F"/>
    <w:rsid w:val="004F10A6"/>
    <w:rsid w:val="005008C6"/>
    <w:rsid w:val="005018D4"/>
    <w:rsid w:val="00506504"/>
    <w:rsid w:val="00513046"/>
    <w:rsid w:val="00515EA4"/>
    <w:rsid w:val="005300C3"/>
    <w:rsid w:val="00531738"/>
    <w:rsid w:val="005444B2"/>
    <w:rsid w:val="00587B4D"/>
    <w:rsid w:val="00592F66"/>
    <w:rsid w:val="005941CE"/>
    <w:rsid w:val="005A000F"/>
    <w:rsid w:val="005B0FAA"/>
    <w:rsid w:val="005D2ECD"/>
    <w:rsid w:val="005D43D5"/>
    <w:rsid w:val="00613B2F"/>
    <w:rsid w:val="00626443"/>
    <w:rsid w:val="00627FCF"/>
    <w:rsid w:val="0063649E"/>
    <w:rsid w:val="006516CB"/>
    <w:rsid w:val="00661790"/>
    <w:rsid w:val="00673205"/>
    <w:rsid w:val="00681DE6"/>
    <w:rsid w:val="00687C76"/>
    <w:rsid w:val="00692F15"/>
    <w:rsid w:val="00697126"/>
    <w:rsid w:val="006A3A53"/>
    <w:rsid w:val="006B090D"/>
    <w:rsid w:val="006B2A84"/>
    <w:rsid w:val="006C41DA"/>
    <w:rsid w:val="006E07D2"/>
    <w:rsid w:val="006F009A"/>
    <w:rsid w:val="006F450A"/>
    <w:rsid w:val="00702BF9"/>
    <w:rsid w:val="0070508F"/>
    <w:rsid w:val="0071218F"/>
    <w:rsid w:val="00717BBD"/>
    <w:rsid w:val="007355D8"/>
    <w:rsid w:val="0074538F"/>
    <w:rsid w:val="007A7E1A"/>
    <w:rsid w:val="007B11B1"/>
    <w:rsid w:val="007B7E59"/>
    <w:rsid w:val="007D2E4E"/>
    <w:rsid w:val="007E09DC"/>
    <w:rsid w:val="007E6783"/>
    <w:rsid w:val="007F5449"/>
    <w:rsid w:val="00803F9A"/>
    <w:rsid w:val="008561D3"/>
    <w:rsid w:val="008728C5"/>
    <w:rsid w:val="008A1490"/>
    <w:rsid w:val="008A36D1"/>
    <w:rsid w:val="008A4F30"/>
    <w:rsid w:val="008C687B"/>
    <w:rsid w:val="008D4546"/>
    <w:rsid w:val="00903FDC"/>
    <w:rsid w:val="00923F1B"/>
    <w:rsid w:val="0094167E"/>
    <w:rsid w:val="0094172C"/>
    <w:rsid w:val="00964F84"/>
    <w:rsid w:val="00964FFA"/>
    <w:rsid w:val="00971D16"/>
    <w:rsid w:val="009A373B"/>
    <w:rsid w:val="009A5477"/>
    <w:rsid w:val="009C1D13"/>
    <w:rsid w:val="009D66DE"/>
    <w:rsid w:val="009F4C1B"/>
    <w:rsid w:val="00A066A2"/>
    <w:rsid w:val="00A112D6"/>
    <w:rsid w:val="00A461BE"/>
    <w:rsid w:val="00A464F5"/>
    <w:rsid w:val="00A5020F"/>
    <w:rsid w:val="00A535BE"/>
    <w:rsid w:val="00A53E4D"/>
    <w:rsid w:val="00A60A6B"/>
    <w:rsid w:val="00A64156"/>
    <w:rsid w:val="00A67D48"/>
    <w:rsid w:val="00A91596"/>
    <w:rsid w:val="00AB2775"/>
    <w:rsid w:val="00AB5FB4"/>
    <w:rsid w:val="00AB6A47"/>
    <w:rsid w:val="00AC513C"/>
    <w:rsid w:val="00AD4457"/>
    <w:rsid w:val="00AE7866"/>
    <w:rsid w:val="00B02EFE"/>
    <w:rsid w:val="00B04F87"/>
    <w:rsid w:val="00B1332C"/>
    <w:rsid w:val="00B370F7"/>
    <w:rsid w:val="00B4369D"/>
    <w:rsid w:val="00B4705E"/>
    <w:rsid w:val="00B521CE"/>
    <w:rsid w:val="00B63823"/>
    <w:rsid w:val="00B743C8"/>
    <w:rsid w:val="00B74F6E"/>
    <w:rsid w:val="00BA3AC6"/>
    <w:rsid w:val="00BA7704"/>
    <w:rsid w:val="00BB44A0"/>
    <w:rsid w:val="00BC2F81"/>
    <w:rsid w:val="00BC4A67"/>
    <w:rsid w:val="00BD791E"/>
    <w:rsid w:val="00BD7F62"/>
    <w:rsid w:val="00BE4D03"/>
    <w:rsid w:val="00BF58D3"/>
    <w:rsid w:val="00C3084A"/>
    <w:rsid w:val="00C37C1F"/>
    <w:rsid w:val="00C45E45"/>
    <w:rsid w:val="00C8549C"/>
    <w:rsid w:val="00CA1351"/>
    <w:rsid w:val="00CA29BF"/>
    <w:rsid w:val="00CC6551"/>
    <w:rsid w:val="00CC76E0"/>
    <w:rsid w:val="00CC7D38"/>
    <w:rsid w:val="00CD2E77"/>
    <w:rsid w:val="00CF0399"/>
    <w:rsid w:val="00CF2500"/>
    <w:rsid w:val="00D01D5C"/>
    <w:rsid w:val="00D1080F"/>
    <w:rsid w:val="00D2572A"/>
    <w:rsid w:val="00D30972"/>
    <w:rsid w:val="00D36C98"/>
    <w:rsid w:val="00D50052"/>
    <w:rsid w:val="00D55207"/>
    <w:rsid w:val="00D62639"/>
    <w:rsid w:val="00D6786F"/>
    <w:rsid w:val="00D97A57"/>
    <w:rsid w:val="00DC7105"/>
    <w:rsid w:val="00DD2A4F"/>
    <w:rsid w:val="00DD41F4"/>
    <w:rsid w:val="00DD4237"/>
    <w:rsid w:val="00DE3FAA"/>
    <w:rsid w:val="00DF5A84"/>
    <w:rsid w:val="00E439CF"/>
    <w:rsid w:val="00E51D05"/>
    <w:rsid w:val="00E613B4"/>
    <w:rsid w:val="00E67C61"/>
    <w:rsid w:val="00E7004A"/>
    <w:rsid w:val="00E737BF"/>
    <w:rsid w:val="00E76DBC"/>
    <w:rsid w:val="00E81C69"/>
    <w:rsid w:val="00E8659A"/>
    <w:rsid w:val="00EA3009"/>
    <w:rsid w:val="00EA4A69"/>
    <w:rsid w:val="00EA4CEE"/>
    <w:rsid w:val="00EB587C"/>
    <w:rsid w:val="00EB7BAF"/>
    <w:rsid w:val="00ED73C1"/>
    <w:rsid w:val="00EE343C"/>
    <w:rsid w:val="00EE6E9D"/>
    <w:rsid w:val="00EE7498"/>
    <w:rsid w:val="00F206FD"/>
    <w:rsid w:val="00F341EB"/>
    <w:rsid w:val="00F35046"/>
    <w:rsid w:val="00F358F5"/>
    <w:rsid w:val="00F44166"/>
    <w:rsid w:val="00F90F97"/>
    <w:rsid w:val="00F9322A"/>
    <w:rsid w:val="00F97260"/>
    <w:rsid w:val="00FA7FEC"/>
    <w:rsid w:val="00FC321A"/>
    <w:rsid w:val="00FE7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70D9"/>
  <w15:chartTrackingRefBased/>
  <w15:docId w15:val="{172DBC56-56CF-47A2-A363-97E118DE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354"/>
  </w:style>
  <w:style w:type="paragraph" w:styleId="Heading1">
    <w:name w:val="heading 1"/>
    <w:basedOn w:val="Normal"/>
    <w:next w:val="Normal"/>
    <w:link w:val="Heading1Char"/>
    <w:uiPriority w:val="1"/>
    <w:qFormat/>
    <w:rsid w:val="00BB44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unhideWhenUsed/>
    <w:qFormat/>
    <w:rsid w:val="00BB44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3FDC"/>
    <w:pPr>
      <w:spacing w:before="100" w:beforeAutospacing="1" w:after="100" w:afterAutospacing="1" w:line="240" w:lineRule="auto"/>
    </w:pPr>
    <w:rPr>
      <w:rFonts w:ascii="Times New Roman" w:hAnsi="Times New Roman" w:cs="Times New Roman"/>
      <w:sz w:val="24"/>
      <w:szCs w:val="24"/>
      <w:lang w:eastAsia="en-AU"/>
    </w:r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903FDC"/>
    <w:pPr>
      <w:ind w:left="720"/>
      <w:contextualSpacing/>
    </w:pPr>
  </w:style>
  <w:style w:type="character" w:customStyle="1" w:styleId="Heading1Char">
    <w:name w:val="Heading 1 Char"/>
    <w:basedOn w:val="DefaultParagraphFont"/>
    <w:link w:val="Heading1"/>
    <w:uiPriority w:val="1"/>
    <w:rsid w:val="00BB44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3"/>
    <w:rsid w:val="00BB44A0"/>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B5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0F4"/>
    <w:rPr>
      <w:rFonts w:ascii="Segoe UI" w:hAnsi="Segoe UI" w:cs="Segoe UI"/>
      <w:sz w:val="18"/>
      <w:szCs w:val="18"/>
    </w:rPr>
  </w:style>
  <w:style w:type="character" w:styleId="CommentReference">
    <w:name w:val="annotation reference"/>
    <w:basedOn w:val="DefaultParagraphFont"/>
    <w:uiPriority w:val="99"/>
    <w:semiHidden/>
    <w:unhideWhenUsed/>
    <w:rsid w:val="003B50F4"/>
    <w:rPr>
      <w:sz w:val="16"/>
      <w:szCs w:val="16"/>
    </w:rPr>
  </w:style>
  <w:style w:type="paragraph" w:styleId="CommentText">
    <w:name w:val="annotation text"/>
    <w:basedOn w:val="Normal"/>
    <w:link w:val="CommentTextChar"/>
    <w:uiPriority w:val="99"/>
    <w:semiHidden/>
    <w:unhideWhenUsed/>
    <w:rsid w:val="003B50F4"/>
    <w:pPr>
      <w:spacing w:line="240" w:lineRule="auto"/>
    </w:pPr>
    <w:rPr>
      <w:sz w:val="20"/>
      <w:szCs w:val="20"/>
    </w:rPr>
  </w:style>
  <w:style w:type="character" w:customStyle="1" w:styleId="CommentTextChar">
    <w:name w:val="Comment Text Char"/>
    <w:basedOn w:val="DefaultParagraphFont"/>
    <w:link w:val="CommentText"/>
    <w:uiPriority w:val="99"/>
    <w:semiHidden/>
    <w:rsid w:val="003B50F4"/>
    <w:rPr>
      <w:sz w:val="20"/>
      <w:szCs w:val="20"/>
    </w:rPr>
  </w:style>
  <w:style w:type="paragraph" w:styleId="CommentSubject">
    <w:name w:val="annotation subject"/>
    <w:basedOn w:val="CommentText"/>
    <w:next w:val="CommentText"/>
    <w:link w:val="CommentSubjectChar"/>
    <w:uiPriority w:val="99"/>
    <w:semiHidden/>
    <w:unhideWhenUsed/>
    <w:rsid w:val="003B50F4"/>
    <w:rPr>
      <w:b/>
      <w:bCs/>
    </w:rPr>
  </w:style>
  <w:style w:type="character" w:customStyle="1" w:styleId="CommentSubjectChar">
    <w:name w:val="Comment Subject Char"/>
    <w:basedOn w:val="CommentTextChar"/>
    <w:link w:val="CommentSubject"/>
    <w:uiPriority w:val="99"/>
    <w:semiHidden/>
    <w:rsid w:val="003B50F4"/>
    <w:rPr>
      <w:b/>
      <w:bCs/>
      <w:sz w:val="20"/>
      <w:szCs w:val="20"/>
    </w:rPr>
  </w:style>
  <w:style w:type="paragraph" w:styleId="FootnoteText">
    <w:name w:val="footnote text"/>
    <w:basedOn w:val="Normal"/>
    <w:link w:val="FootnoteTextChar"/>
    <w:uiPriority w:val="99"/>
    <w:unhideWhenUsed/>
    <w:qFormat/>
    <w:rsid w:val="004D0ADE"/>
    <w:pPr>
      <w:spacing w:after="0" w:line="240" w:lineRule="auto"/>
    </w:pPr>
    <w:rPr>
      <w:sz w:val="20"/>
      <w:szCs w:val="20"/>
    </w:rPr>
  </w:style>
  <w:style w:type="character" w:customStyle="1" w:styleId="FootnoteTextChar">
    <w:name w:val="Footnote Text Char"/>
    <w:basedOn w:val="DefaultParagraphFont"/>
    <w:link w:val="FootnoteText"/>
    <w:uiPriority w:val="99"/>
    <w:rsid w:val="004D0ADE"/>
    <w:rPr>
      <w:sz w:val="20"/>
      <w:szCs w:val="20"/>
    </w:rPr>
  </w:style>
  <w:style w:type="character" w:styleId="FootnoteReference">
    <w:name w:val="footnote reference"/>
    <w:basedOn w:val="DefaultParagraphFont"/>
    <w:uiPriority w:val="99"/>
    <w:semiHidden/>
    <w:unhideWhenUsed/>
    <w:rsid w:val="004D0ADE"/>
    <w:rPr>
      <w:vertAlign w:val="superscript"/>
    </w:rPr>
  </w:style>
  <w:style w:type="paragraph" w:customStyle="1" w:styleId="Calloutbox">
    <w:name w:val="Call out box"/>
    <w:basedOn w:val="Normal"/>
    <w:link w:val="CalloutboxChar"/>
    <w:qFormat/>
    <w:rsid w:val="00D30972"/>
    <w:pPr>
      <w:pBdr>
        <w:top w:val="single" w:sz="4" w:space="6" w:color="0D0D0D" w:themeColor="text1" w:themeTint="F2"/>
        <w:left w:val="single" w:sz="4" w:space="4" w:color="0D0D0D" w:themeColor="text1" w:themeTint="F2"/>
        <w:bottom w:val="single" w:sz="4" w:space="6" w:color="0D0D0D" w:themeColor="text1" w:themeTint="F2"/>
        <w:right w:val="single" w:sz="4" w:space="4" w:color="0D0D0D" w:themeColor="text1" w:themeTint="F2"/>
      </w:pBdr>
      <w:shd w:val="clear" w:color="auto" w:fill="FFE7ED"/>
      <w:ind w:left="136" w:right="249"/>
    </w:pPr>
  </w:style>
  <w:style w:type="character" w:customStyle="1" w:styleId="CalloutboxChar">
    <w:name w:val="Call out box Char"/>
    <w:basedOn w:val="DefaultParagraphFont"/>
    <w:link w:val="Calloutbox"/>
    <w:rsid w:val="00D30972"/>
    <w:rPr>
      <w:shd w:val="clear" w:color="auto" w:fill="FFE7ED"/>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locked/>
    <w:rsid w:val="00173E67"/>
  </w:style>
  <w:style w:type="paragraph" w:styleId="PlainText">
    <w:name w:val="Plain Text"/>
    <w:basedOn w:val="Normal"/>
    <w:link w:val="PlainTextChar"/>
    <w:uiPriority w:val="99"/>
    <w:semiHidden/>
    <w:unhideWhenUsed/>
    <w:rsid w:val="007A7E1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A7E1A"/>
    <w:rPr>
      <w:rFonts w:ascii="Calibri" w:hAnsi="Calibri"/>
      <w:szCs w:val="21"/>
    </w:rPr>
  </w:style>
  <w:style w:type="paragraph" w:styleId="Header">
    <w:name w:val="header"/>
    <w:basedOn w:val="Normal"/>
    <w:link w:val="HeaderChar"/>
    <w:uiPriority w:val="99"/>
    <w:unhideWhenUsed/>
    <w:rsid w:val="00BD7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91E"/>
  </w:style>
  <w:style w:type="paragraph" w:styleId="Footer">
    <w:name w:val="footer"/>
    <w:basedOn w:val="Normal"/>
    <w:link w:val="FooterChar"/>
    <w:uiPriority w:val="99"/>
    <w:unhideWhenUsed/>
    <w:rsid w:val="00BD7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91E"/>
  </w:style>
  <w:style w:type="paragraph" w:styleId="Title">
    <w:name w:val="Title"/>
    <w:basedOn w:val="Normal"/>
    <w:next w:val="Normal"/>
    <w:link w:val="TitleChar"/>
    <w:uiPriority w:val="10"/>
    <w:qFormat/>
    <w:rsid w:val="00177C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CF9"/>
    <w:rPr>
      <w:rFonts w:asciiTheme="majorHAnsi" w:eastAsiaTheme="majorEastAsia" w:hAnsiTheme="majorHAnsi" w:cstheme="majorBidi"/>
      <w:spacing w:val="-10"/>
      <w:kern w:val="28"/>
      <w:sz w:val="56"/>
      <w:szCs w:val="56"/>
    </w:rPr>
  </w:style>
  <w:style w:type="paragraph" w:styleId="Revision">
    <w:name w:val="Revision"/>
    <w:hidden/>
    <w:uiPriority w:val="99"/>
    <w:semiHidden/>
    <w:rsid w:val="00E613B4"/>
    <w:pPr>
      <w:spacing w:after="0" w:line="240" w:lineRule="auto"/>
    </w:pPr>
  </w:style>
  <w:style w:type="paragraph" w:customStyle="1" w:styleId="Series">
    <w:name w:val="Series"/>
    <w:qFormat/>
    <w:rsid w:val="00EB7BAF"/>
    <w:pPr>
      <w:spacing w:before="120" w:after="120" w:line="240" w:lineRule="auto"/>
    </w:pPr>
    <w:rPr>
      <w:b/>
      <w:i/>
      <w:color w:val="44546A" w:themeColor="text2"/>
      <w:sz w:val="32"/>
    </w:rPr>
  </w:style>
  <w:style w:type="character" w:styleId="Hyperlink">
    <w:name w:val="Hyperlink"/>
    <w:basedOn w:val="DefaultParagraphFont"/>
    <w:uiPriority w:val="99"/>
    <w:qFormat/>
    <w:rsid w:val="00DE3FAA"/>
    <w:rPr>
      <w:color w:val="165788"/>
      <w:u w:val="single"/>
    </w:rPr>
  </w:style>
  <w:style w:type="character" w:styleId="Strong">
    <w:name w:val="Strong"/>
    <w:basedOn w:val="DefaultParagraphFont"/>
    <w:uiPriority w:val="22"/>
    <w:qFormat/>
    <w:rsid w:val="00DE3FAA"/>
    <w:rPr>
      <w:b/>
      <w:bCs/>
    </w:rPr>
  </w:style>
  <w:style w:type="paragraph" w:customStyle="1" w:styleId="Normalsmall">
    <w:name w:val="Normal small"/>
    <w:qFormat/>
    <w:rsid w:val="00DE3FAA"/>
    <w:pPr>
      <w:spacing w:after="120" w:line="276" w:lineRule="auto"/>
    </w:pPr>
    <w:rPr>
      <w:sz w:val="18"/>
      <w:szCs w:val="18"/>
    </w:rPr>
  </w:style>
  <w:style w:type="character" w:customStyle="1" w:styleId="s37">
    <w:name w:val="s37"/>
    <w:basedOn w:val="DefaultParagraphFont"/>
    <w:rsid w:val="003E27F5"/>
  </w:style>
  <w:style w:type="character" w:customStyle="1" w:styleId="s30">
    <w:name w:val="s30"/>
    <w:basedOn w:val="DefaultParagraphFont"/>
    <w:rsid w:val="003E27F5"/>
  </w:style>
  <w:style w:type="paragraph" w:customStyle="1" w:styleId="Tabletext">
    <w:name w:val="Tabletext"/>
    <w:aliases w:val="tt"/>
    <w:basedOn w:val="Normal"/>
    <w:rsid w:val="00CF0399"/>
    <w:pPr>
      <w:spacing w:before="60" w:after="0" w:line="240" w:lineRule="atLeast"/>
    </w:pPr>
    <w:rPr>
      <w:rFonts w:ascii="Times New Roman" w:hAnsi="Times New Roman" w:cs="Times New Roman"/>
      <w:sz w:val="20"/>
      <w:szCs w:val="20"/>
      <w:lang w:eastAsia="en-AU"/>
    </w:rPr>
  </w:style>
  <w:style w:type="paragraph" w:customStyle="1" w:styleId="TableHeading">
    <w:name w:val="TableHeading"/>
    <w:aliases w:val="th"/>
    <w:basedOn w:val="Normal"/>
    <w:rsid w:val="00CF0399"/>
    <w:pPr>
      <w:keepNext/>
      <w:spacing w:before="60" w:after="0" w:line="240" w:lineRule="atLeast"/>
    </w:pPr>
    <w:rPr>
      <w:rFonts w:ascii="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7173">
      <w:bodyDiv w:val="1"/>
      <w:marLeft w:val="0"/>
      <w:marRight w:val="0"/>
      <w:marTop w:val="0"/>
      <w:marBottom w:val="0"/>
      <w:divBdr>
        <w:top w:val="none" w:sz="0" w:space="0" w:color="auto"/>
        <w:left w:val="none" w:sz="0" w:space="0" w:color="auto"/>
        <w:bottom w:val="none" w:sz="0" w:space="0" w:color="auto"/>
        <w:right w:val="none" w:sz="0" w:space="0" w:color="auto"/>
      </w:divBdr>
    </w:div>
    <w:div w:id="119496081">
      <w:bodyDiv w:val="1"/>
      <w:marLeft w:val="0"/>
      <w:marRight w:val="0"/>
      <w:marTop w:val="0"/>
      <w:marBottom w:val="0"/>
      <w:divBdr>
        <w:top w:val="none" w:sz="0" w:space="0" w:color="auto"/>
        <w:left w:val="none" w:sz="0" w:space="0" w:color="auto"/>
        <w:bottom w:val="none" w:sz="0" w:space="0" w:color="auto"/>
        <w:right w:val="none" w:sz="0" w:space="0" w:color="auto"/>
      </w:divBdr>
    </w:div>
    <w:div w:id="136455958">
      <w:bodyDiv w:val="1"/>
      <w:marLeft w:val="0"/>
      <w:marRight w:val="0"/>
      <w:marTop w:val="0"/>
      <w:marBottom w:val="0"/>
      <w:divBdr>
        <w:top w:val="none" w:sz="0" w:space="0" w:color="auto"/>
        <w:left w:val="none" w:sz="0" w:space="0" w:color="auto"/>
        <w:bottom w:val="none" w:sz="0" w:space="0" w:color="auto"/>
        <w:right w:val="none" w:sz="0" w:space="0" w:color="auto"/>
      </w:divBdr>
    </w:div>
    <w:div w:id="262501073">
      <w:bodyDiv w:val="1"/>
      <w:marLeft w:val="0"/>
      <w:marRight w:val="0"/>
      <w:marTop w:val="0"/>
      <w:marBottom w:val="0"/>
      <w:divBdr>
        <w:top w:val="none" w:sz="0" w:space="0" w:color="auto"/>
        <w:left w:val="none" w:sz="0" w:space="0" w:color="auto"/>
        <w:bottom w:val="none" w:sz="0" w:space="0" w:color="auto"/>
        <w:right w:val="none" w:sz="0" w:space="0" w:color="auto"/>
      </w:divBdr>
    </w:div>
    <w:div w:id="305818687">
      <w:bodyDiv w:val="1"/>
      <w:marLeft w:val="0"/>
      <w:marRight w:val="0"/>
      <w:marTop w:val="0"/>
      <w:marBottom w:val="0"/>
      <w:divBdr>
        <w:top w:val="none" w:sz="0" w:space="0" w:color="auto"/>
        <w:left w:val="none" w:sz="0" w:space="0" w:color="auto"/>
        <w:bottom w:val="none" w:sz="0" w:space="0" w:color="auto"/>
        <w:right w:val="none" w:sz="0" w:space="0" w:color="auto"/>
      </w:divBdr>
    </w:div>
    <w:div w:id="491221087">
      <w:bodyDiv w:val="1"/>
      <w:marLeft w:val="0"/>
      <w:marRight w:val="0"/>
      <w:marTop w:val="0"/>
      <w:marBottom w:val="0"/>
      <w:divBdr>
        <w:top w:val="none" w:sz="0" w:space="0" w:color="auto"/>
        <w:left w:val="none" w:sz="0" w:space="0" w:color="auto"/>
        <w:bottom w:val="none" w:sz="0" w:space="0" w:color="auto"/>
        <w:right w:val="none" w:sz="0" w:space="0" w:color="auto"/>
      </w:divBdr>
    </w:div>
    <w:div w:id="885877422">
      <w:bodyDiv w:val="1"/>
      <w:marLeft w:val="0"/>
      <w:marRight w:val="0"/>
      <w:marTop w:val="0"/>
      <w:marBottom w:val="0"/>
      <w:divBdr>
        <w:top w:val="none" w:sz="0" w:space="0" w:color="auto"/>
        <w:left w:val="none" w:sz="0" w:space="0" w:color="auto"/>
        <w:bottom w:val="none" w:sz="0" w:space="0" w:color="auto"/>
        <w:right w:val="none" w:sz="0" w:space="0" w:color="auto"/>
      </w:divBdr>
    </w:div>
    <w:div w:id="165271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nsult.industry.gov.au/safeguard-mechanism-reform-consultation-pap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BC986DFDE75994F940B8C539C91BA04" ma:contentTypeVersion="14" ma:contentTypeDescription="Create a new document." ma:contentTypeScope="" ma:versionID="4141dd26a2ffeb935ee6c41f54aa8c34">
  <xsd:schema xmlns:xsd="http://www.w3.org/2001/XMLSchema" xmlns:xs="http://www.w3.org/2001/XMLSchema" xmlns:p="http://schemas.microsoft.com/office/2006/metadata/properties" xmlns:ns1="http://schemas.microsoft.com/sharepoint/v3" xmlns:ns2="a36bd50b-1532-4c22-b385-5c082c960938" xmlns:ns3="8c4c6479-bb6a-4263-8159-fbb0afc5d491" xmlns:ns4="http://schemas.microsoft.com/sharepoint/v4" targetNamespace="http://schemas.microsoft.com/office/2006/metadata/properties" ma:root="true" ma:fieldsID="35a4915c153d951265893df6741f4417" ns1:_="" ns2:_="" ns3:_="" ns4:_="">
    <xsd:import namespace="http://schemas.microsoft.com/sharepoint/v3"/>
    <xsd:import namespace="a36bd50b-1532-4c22-b385-5c082c960938"/>
    <xsd:import namespace="8c4c6479-bb6a-4263-8159-fbb0afc5d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fbe3fec-c611-4c3e-9ea6-f54bcd1bbf7a}" ma:internalName="TaxCatchAll" ma:showField="CatchAllData" ma:web="8c4c6479-bb6a-4263-8159-fbb0afc5d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9d8bf4-53b1-4391-9742-58425172aa62"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4c6479-bb6a-4263-8159-fbb0afc5d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Safeguard Mechanism</TermName>
          <TermId xmlns="http://schemas.microsoft.com/office/infopath/2007/PartnerControls">462066da-c297-4969-b9e8-878ecfcc0dda</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38af007d-6d80-4dd0-9833-ef17489d7c7e</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1f93d6e9-ce72-494e-aefd-be45817cd598</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TaxCatchAll xmlns="a36bd50b-1532-4c22-b385-5c082c960938">
      <Value>82</Value>
      <Value>1390</Value>
      <Value>234</Value>
      <Value>295</Value>
      <Value>378</Value>
    </TaxCatchAll>
    <Comments xmlns="http://schemas.microsoft.com/sharepoint/v3">Cleared by office
</Comments>
    <IconOverlay xmlns="http://schemas.microsoft.com/sharepoint/v4" xsi:nil="true"/>
  </documentManagement>
</p:properties>
</file>

<file path=customXml/itemProps1.xml><?xml version="1.0" encoding="utf-8"?>
<ds:datastoreItem xmlns:ds="http://schemas.openxmlformats.org/officeDocument/2006/customXml" ds:itemID="{1DB74EE6-AC0B-435E-91C5-7D14DB61B549}">
  <ds:schemaRefs>
    <ds:schemaRef ds:uri="http://schemas.microsoft.com/sharepoint/v3/contenttype/forms"/>
  </ds:schemaRefs>
</ds:datastoreItem>
</file>

<file path=customXml/itemProps2.xml><?xml version="1.0" encoding="utf-8"?>
<ds:datastoreItem xmlns:ds="http://schemas.openxmlformats.org/officeDocument/2006/customXml" ds:itemID="{40D7DE5E-73BA-493D-8CC4-8AAF6C1742C2}">
  <ds:schemaRefs>
    <ds:schemaRef ds:uri="http://schemas.microsoft.com/sharepoint/events"/>
  </ds:schemaRefs>
</ds:datastoreItem>
</file>

<file path=customXml/itemProps3.xml><?xml version="1.0" encoding="utf-8"?>
<ds:datastoreItem xmlns:ds="http://schemas.openxmlformats.org/officeDocument/2006/customXml" ds:itemID="{F165976A-7803-4174-89E1-66896AF65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8c4c6479-bb6a-4263-8159-fbb0afc5d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425B5C-84D6-42B3-915B-20280CF4BEFA}">
  <ds:schemaRefs>
    <ds:schemaRef ds:uri="http://schemas.openxmlformats.org/officeDocument/2006/bibliography"/>
  </ds:schemaRefs>
</ds:datastoreItem>
</file>

<file path=customXml/itemProps5.xml><?xml version="1.0" encoding="utf-8"?>
<ds:datastoreItem xmlns:ds="http://schemas.openxmlformats.org/officeDocument/2006/customXml" ds:itemID="{DE06D446-B8BA-43E1-B034-E73D60931B08}">
  <ds:schemaRefs>
    <ds:schemaRef ds:uri="http://purl.org/dc/elements/1.1/"/>
    <ds:schemaRef ds:uri="http://purl.org/dc/terms/"/>
    <ds:schemaRef ds:uri="http://purl.org/dc/dcmitype/"/>
    <ds:schemaRef ds:uri="8c4c6479-bb6a-4263-8159-fbb0afc5d491"/>
    <ds:schemaRef ds:uri="http://schemas.microsoft.com/office/2006/documentManagement/types"/>
    <ds:schemaRef ds:uri="http://schemas.microsoft.com/sharepoint/v3"/>
    <ds:schemaRef ds:uri="a36bd50b-1532-4c22-b385-5c082c960938"/>
    <ds:schemaRef ds:uri="http://www.w3.org/XML/1998/namespace"/>
    <ds:schemaRef ds:uri="http://schemas.microsoft.com/office/infopath/2007/PartnerControls"/>
    <ds:schemaRef ds:uri="http://schemas.openxmlformats.org/package/2006/metadata/core-properties"/>
    <ds:schemaRef ds:uri="http://schemas.microsoft.com/sharepoint/v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Holly</dc:creator>
  <cp:keywords/>
  <dc:description/>
  <cp:lastModifiedBy>Jones, Kayleigh</cp:lastModifiedBy>
  <cp:revision>10</cp:revision>
  <cp:lastPrinted>2022-12-10T05:13:00Z</cp:lastPrinted>
  <dcterms:created xsi:type="dcterms:W3CDTF">2023-01-05T05:26:00Z</dcterms:created>
  <dcterms:modified xsi:type="dcterms:W3CDTF">2023-01-09T02:21:00Z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0x0101005BC986DFDE75994F940B8C539C91BA04</vt:lpwstr>
  </property>
  <property fmtid="{D5CDD505-2E9C-101B-9397-08002B2CF9AE}" pid="3" name="DocHub_Year">
    <vt:lpwstr>1390;#2022|4a777a70-2aa9-481e-a746-cca47d761c8e</vt:lpwstr>
  </property>
  <property fmtid="{D5CDD505-2E9C-101B-9397-08002B2CF9AE}" pid="4" name="DocHub_DocumentType">
    <vt:lpwstr>378;#Fact Sheet|38af007d-6d80-4dd0-9833-ef17489d7c7e</vt:lpwstr>
  </property>
  <property fmtid="{D5CDD505-2E9C-101B-9397-08002B2CF9AE}" pid="5" name="DocHub_SecurityClassification">
    <vt:lpwstr>82;#PROTECTED|1f93d6e9-ce72-494e-aefd-be45817cd598</vt:lpwstr>
  </property>
  <property fmtid="{D5CDD505-2E9C-101B-9397-08002B2CF9AE}" pid="6" name="DocHub_Keywords">
    <vt:lpwstr>234;#Safeguard Mechanism|462066da-c297-4969-b9e8-878ecfcc0dda</vt:lpwstr>
  </property>
  <property fmtid="{D5CDD505-2E9C-101B-9397-08002B2CF9AE}" pid="7" name="DocHub_WorkActivity">
    <vt:lpwstr>295;#Communication|cd41d649-1e1a-44f5-b99b-946d42ce56d6</vt:lpwstr>
  </property>
</Properties>
</file>